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8287F" w14:textId="44290588" w:rsidR="00303E0B" w:rsidRDefault="007A761C">
      <w:pPr>
        <w:pStyle w:val="Heading1"/>
      </w:pPr>
      <w:r>
        <w:t>Lesson 1: Collecting data</w:t>
      </w:r>
    </w:p>
    <w:p w14:paraId="37D65EF6" w14:textId="77777777" w:rsidR="00303E0B" w:rsidRDefault="007A761C">
      <w:pPr>
        <w:pStyle w:val="Heading2"/>
      </w:pPr>
      <w:bookmarkStart w:id="0" w:name="_30j0zll" w:colFirst="0" w:colLast="0"/>
      <w:bookmarkEnd w:id="0"/>
      <w:r>
        <w:t>Introduction</w:t>
      </w:r>
    </w:p>
    <w:p w14:paraId="3605E081" w14:textId="77777777" w:rsidR="00303E0B" w:rsidRDefault="007A761C">
      <w:pPr>
        <w:rPr>
          <w:rFonts w:ascii="Quicksand" w:eastAsia="Quicksand" w:hAnsi="Quicksand" w:cs="Quicksand"/>
        </w:rPr>
      </w:pPr>
      <w:r>
        <w:rPr>
          <w:rFonts w:ascii="Quicksand" w:eastAsia="Quicksand" w:hAnsi="Quicksand" w:cs="Quicksand"/>
        </w:rPr>
        <w:t>Learners will collect and organise data in a format of their choice. They will then explore how data can be structured in a table. Finally, they will input data into a spreadsheet.</w:t>
      </w:r>
    </w:p>
    <w:p w14:paraId="1A82863D" w14:textId="77777777" w:rsidR="00303E0B" w:rsidRDefault="007A761C">
      <w:pPr>
        <w:pStyle w:val="Heading2"/>
      </w:pPr>
      <w:bookmarkStart w:id="1" w:name="_1fob9te" w:colFirst="0" w:colLast="0"/>
      <w:bookmarkEnd w:id="1"/>
      <w:r>
        <w:t>Learning objectives</w:t>
      </w:r>
    </w:p>
    <w:p w14:paraId="1C648FAE" w14:textId="77777777" w:rsidR="00303E0B" w:rsidRDefault="007A761C">
      <w:pPr>
        <w:rPr>
          <w:rFonts w:ascii="Quicksand" w:eastAsia="Quicksand" w:hAnsi="Quicksand" w:cs="Quicksand"/>
        </w:rPr>
      </w:pPr>
      <w:r>
        <w:rPr>
          <w:rFonts w:ascii="Quicksand" w:eastAsia="Quicksand" w:hAnsi="Quicksand" w:cs="Quicksand"/>
        </w:rPr>
        <w:t>To create a data set in a spreadsheet</w:t>
      </w:r>
    </w:p>
    <w:p w14:paraId="58E8BE8E" w14:textId="77777777" w:rsidR="00303E0B" w:rsidRDefault="007A761C">
      <w:pPr>
        <w:numPr>
          <w:ilvl w:val="0"/>
          <w:numId w:val="2"/>
        </w:numPr>
        <w:rPr>
          <w:rFonts w:ascii="Quicksand" w:eastAsia="Quicksand" w:hAnsi="Quicksand" w:cs="Quicksand"/>
        </w:rPr>
      </w:pPr>
      <w:r>
        <w:rPr>
          <w:rFonts w:ascii="Quicksand" w:eastAsia="Quicksand" w:hAnsi="Quicksand" w:cs="Quicksand"/>
        </w:rPr>
        <w:t>I can collect dat</w:t>
      </w:r>
      <w:r>
        <w:rPr>
          <w:rFonts w:ascii="Quicksand" w:eastAsia="Quicksand" w:hAnsi="Quicksand" w:cs="Quicksand"/>
        </w:rPr>
        <w:t>a</w:t>
      </w:r>
    </w:p>
    <w:p w14:paraId="73E33E33" w14:textId="77777777" w:rsidR="00303E0B" w:rsidRDefault="007A761C">
      <w:pPr>
        <w:numPr>
          <w:ilvl w:val="0"/>
          <w:numId w:val="2"/>
        </w:numPr>
        <w:rPr>
          <w:rFonts w:ascii="Quicksand" w:eastAsia="Quicksand" w:hAnsi="Quicksand" w:cs="Quicksand"/>
        </w:rPr>
      </w:pPr>
      <w:r>
        <w:rPr>
          <w:rFonts w:ascii="Quicksand" w:eastAsia="Quicksand" w:hAnsi="Quicksand" w:cs="Quicksand"/>
        </w:rPr>
        <w:t>I can suggest how to structure my data</w:t>
      </w:r>
    </w:p>
    <w:p w14:paraId="6FD62AF4" w14:textId="77777777" w:rsidR="00303E0B" w:rsidRDefault="007A761C">
      <w:pPr>
        <w:numPr>
          <w:ilvl w:val="0"/>
          <w:numId w:val="2"/>
        </w:numPr>
        <w:rPr>
          <w:rFonts w:ascii="Quicksand" w:eastAsia="Quicksand" w:hAnsi="Quicksand" w:cs="Quicksand"/>
        </w:rPr>
      </w:pPr>
      <w:r>
        <w:rPr>
          <w:rFonts w:ascii="Quicksand" w:eastAsia="Quicksand" w:hAnsi="Quicksand" w:cs="Quicksand"/>
        </w:rPr>
        <w:t>I can enter data into a spreadsheet</w:t>
      </w:r>
    </w:p>
    <w:p w14:paraId="063AB95F" w14:textId="77777777" w:rsidR="00303E0B" w:rsidRDefault="007A761C">
      <w:pPr>
        <w:pStyle w:val="Heading2"/>
      </w:pPr>
      <w:bookmarkStart w:id="2" w:name="_3znysh7" w:colFirst="0" w:colLast="0"/>
      <w:bookmarkEnd w:id="2"/>
      <w:r>
        <w:t>Key vocabulary</w:t>
      </w:r>
    </w:p>
    <w:p w14:paraId="15E62630" w14:textId="77777777" w:rsidR="00303E0B" w:rsidRDefault="007A761C">
      <w:pPr>
        <w:rPr>
          <w:rFonts w:ascii="Quicksand" w:eastAsia="Quicksand" w:hAnsi="Quicksand" w:cs="Quicksand"/>
        </w:rPr>
      </w:pPr>
      <w:r>
        <w:rPr>
          <w:rFonts w:ascii="Quicksand" w:eastAsia="Quicksand" w:hAnsi="Quicksand" w:cs="Quicksand"/>
        </w:rPr>
        <w:t>Data, collecting, table, structure, spreadsheet</w:t>
      </w:r>
    </w:p>
    <w:p w14:paraId="3953CD83" w14:textId="77777777" w:rsidR="00303E0B" w:rsidRDefault="007A761C">
      <w:pPr>
        <w:pStyle w:val="Heading2"/>
      </w:pPr>
      <w:bookmarkStart w:id="3" w:name="_2et92p0" w:colFirst="0" w:colLast="0"/>
      <w:bookmarkEnd w:id="3"/>
      <w:r>
        <w:t>Preparation</w:t>
      </w:r>
    </w:p>
    <w:p w14:paraId="5EFFFEC4" w14:textId="77777777" w:rsidR="00303E0B" w:rsidRDefault="007A761C">
      <w:pPr>
        <w:rPr>
          <w:rFonts w:ascii="Quicksand" w:eastAsia="Quicksand" w:hAnsi="Quicksand" w:cs="Quicksand"/>
          <w:b/>
        </w:rPr>
      </w:pPr>
      <w:r>
        <w:rPr>
          <w:rFonts w:ascii="Quicksand" w:eastAsia="Quicksand" w:hAnsi="Quicksand" w:cs="Quicksand"/>
          <w:b/>
        </w:rPr>
        <w:t>Subject knowledge:</w:t>
      </w:r>
    </w:p>
    <w:p w14:paraId="1DDD9FCA" w14:textId="77777777" w:rsidR="00303E0B" w:rsidRDefault="007A761C">
      <w:pPr>
        <w:rPr>
          <w:rFonts w:ascii="Quicksand" w:eastAsia="Quicksand" w:hAnsi="Quicksand" w:cs="Quicksand"/>
        </w:rPr>
      </w:pPr>
      <w:r>
        <w:rPr>
          <w:rFonts w:ascii="Quicksand" w:eastAsia="Quicksand" w:hAnsi="Quicksand" w:cs="Quicksand"/>
        </w:rPr>
        <w:t>It would be beneficial for teachers to have an understanding of a spreadsheet applica</w:t>
      </w:r>
      <w:r>
        <w:rPr>
          <w:rFonts w:ascii="Quicksand" w:eastAsia="Quicksand" w:hAnsi="Quicksand" w:cs="Quicksand"/>
        </w:rPr>
        <w:t xml:space="preserve">tion, </w:t>
      </w:r>
      <w:proofErr w:type="spellStart"/>
      <w:r>
        <w:rPr>
          <w:rFonts w:ascii="Quicksand" w:eastAsia="Quicksand" w:hAnsi="Quicksand" w:cs="Quicksand"/>
        </w:rPr>
        <w:t>eg</w:t>
      </w:r>
      <w:proofErr w:type="spellEnd"/>
      <w:r>
        <w:rPr>
          <w:rFonts w:ascii="Quicksand" w:eastAsia="Quicksand" w:hAnsi="Quicksand" w:cs="Quicksand"/>
        </w:rPr>
        <w:t xml:space="preserve"> Google Sheets, or alternative software such as Microsoft Excel or ‘Purple Mash – 2Calculate’. </w:t>
      </w:r>
    </w:p>
    <w:p w14:paraId="5A47C227" w14:textId="77777777" w:rsidR="00303E0B" w:rsidRDefault="00303E0B">
      <w:pPr>
        <w:rPr>
          <w:rFonts w:ascii="Quicksand" w:eastAsia="Quicksand" w:hAnsi="Quicksand" w:cs="Quicksand"/>
        </w:rPr>
      </w:pPr>
    </w:p>
    <w:p w14:paraId="0DF02DBC" w14:textId="77777777" w:rsidR="00303E0B" w:rsidRDefault="007A761C">
      <w:pPr>
        <w:rPr>
          <w:rFonts w:ascii="Quicksand" w:eastAsia="Quicksand" w:hAnsi="Quicksand" w:cs="Quicksand"/>
        </w:rPr>
      </w:pPr>
      <w:r>
        <w:rPr>
          <w:rFonts w:ascii="Quicksand" w:eastAsia="Quicksand" w:hAnsi="Quicksand" w:cs="Quicksand"/>
        </w:rPr>
        <w:t xml:space="preserve">An understanding of the terms ‘data’, ‘data set’, and ‘data headings’ is also important, as they are key concepts throughout this lesson. </w:t>
      </w:r>
    </w:p>
    <w:p w14:paraId="5217376C" w14:textId="77777777" w:rsidR="00303E0B" w:rsidRDefault="00303E0B">
      <w:pPr>
        <w:rPr>
          <w:rFonts w:ascii="Quicksand" w:eastAsia="Quicksand" w:hAnsi="Quicksand" w:cs="Quicksand"/>
        </w:rPr>
      </w:pPr>
    </w:p>
    <w:p w14:paraId="5FB617EE" w14:textId="77777777" w:rsidR="00303E0B" w:rsidRDefault="007A761C">
      <w:pPr>
        <w:rPr>
          <w:rFonts w:ascii="Quicksand" w:eastAsia="Quicksand" w:hAnsi="Quicksand" w:cs="Quicksand"/>
        </w:rPr>
      </w:pPr>
      <w:r>
        <w:rPr>
          <w:rFonts w:ascii="Quicksand" w:eastAsia="Quicksand" w:hAnsi="Quicksand" w:cs="Quicksand"/>
          <w:b/>
        </w:rPr>
        <w:t xml:space="preserve">Note: </w:t>
      </w:r>
      <w:r>
        <w:rPr>
          <w:rFonts w:ascii="Quicksand" w:eastAsia="Quicksand" w:hAnsi="Quicksand" w:cs="Quicksand"/>
        </w:rPr>
        <w:t>The r</w:t>
      </w:r>
      <w:r>
        <w:rPr>
          <w:rFonts w:ascii="Quicksand" w:eastAsia="Quicksand" w:hAnsi="Quicksand" w:cs="Quicksand"/>
        </w:rPr>
        <w:t xml:space="preserve">esources in this unit assume the use of Google Sheets. </w:t>
      </w:r>
    </w:p>
    <w:p w14:paraId="67C0DC4D" w14:textId="77777777" w:rsidR="00303E0B" w:rsidRDefault="00303E0B">
      <w:pPr>
        <w:rPr>
          <w:rFonts w:ascii="Quicksand" w:eastAsia="Quicksand" w:hAnsi="Quicksand" w:cs="Quicksand"/>
        </w:rPr>
      </w:pPr>
    </w:p>
    <w:p w14:paraId="6CD063D1" w14:textId="77777777" w:rsidR="00303E0B" w:rsidRDefault="007A761C">
      <w:pPr>
        <w:rPr>
          <w:rFonts w:ascii="Quicksand" w:eastAsia="Quicksand" w:hAnsi="Quicksand" w:cs="Quicksand"/>
          <w:b/>
        </w:rPr>
      </w:pPr>
      <w:r>
        <w:rPr>
          <w:rFonts w:ascii="Quicksand" w:eastAsia="Quicksand" w:hAnsi="Quicksand" w:cs="Quicksand"/>
          <w:b/>
        </w:rPr>
        <w:t>You will need:</w:t>
      </w:r>
    </w:p>
    <w:p w14:paraId="11922DB5" w14:textId="77777777" w:rsidR="00303E0B" w:rsidRDefault="007A761C">
      <w:pPr>
        <w:numPr>
          <w:ilvl w:val="0"/>
          <w:numId w:val="1"/>
        </w:numPr>
        <w:rPr>
          <w:rFonts w:ascii="Quicksand" w:eastAsia="Quicksand" w:hAnsi="Quicksand" w:cs="Quicksand"/>
        </w:rPr>
      </w:pPr>
      <w:r>
        <w:rPr>
          <w:rFonts w:ascii="Quicksand" w:eastAsia="Quicksand" w:hAnsi="Quicksand" w:cs="Quicksand"/>
        </w:rPr>
        <w:t>Slides</w:t>
      </w:r>
    </w:p>
    <w:p w14:paraId="2FF03812" w14:textId="77777777" w:rsidR="00303E0B" w:rsidRDefault="007A761C">
      <w:pPr>
        <w:numPr>
          <w:ilvl w:val="0"/>
          <w:numId w:val="1"/>
        </w:numPr>
        <w:rPr>
          <w:rFonts w:ascii="Quicksand" w:eastAsia="Quicksand" w:hAnsi="Quicksand" w:cs="Quicksand"/>
        </w:rPr>
      </w:pPr>
      <w:r>
        <w:rPr>
          <w:rFonts w:ascii="Quicksand" w:eastAsia="Quicksand" w:hAnsi="Quicksand" w:cs="Quicksand"/>
        </w:rPr>
        <w:t>A1 – Dry wipe boards and pens or pens/pencils and paper</w:t>
      </w:r>
    </w:p>
    <w:p w14:paraId="2DA3D0AC" w14:textId="77777777" w:rsidR="00303E0B" w:rsidRDefault="007A761C">
      <w:pPr>
        <w:numPr>
          <w:ilvl w:val="0"/>
          <w:numId w:val="1"/>
        </w:numPr>
        <w:rPr>
          <w:rFonts w:ascii="Quicksand" w:eastAsia="Quicksand" w:hAnsi="Quicksand" w:cs="Quicksand"/>
        </w:rPr>
      </w:pPr>
      <w:r>
        <w:rPr>
          <w:rFonts w:ascii="Quicksand" w:eastAsia="Quicksand" w:hAnsi="Quicksand" w:cs="Quicksand"/>
        </w:rPr>
        <w:t>A2 handout – Organising your data</w:t>
      </w:r>
    </w:p>
    <w:p w14:paraId="008930ED" w14:textId="77777777" w:rsidR="00303E0B" w:rsidRDefault="007A761C">
      <w:pPr>
        <w:numPr>
          <w:ilvl w:val="0"/>
          <w:numId w:val="1"/>
        </w:numPr>
        <w:rPr>
          <w:rFonts w:ascii="Quicksand" w:eastAsia="Quicksand" w:hAnsi="Quicksand" w:cs="Quicksand"/>
        </w:rPr>
      </w:pPr>
      <w:r>
        <w:rPr>
          <w:rFonts w:ascii="Quicksand" w:eastAsia="Quicksand" w:hAnsi="Quicksand" w:cs="Quicksand"/>
        </w:rPr>
        <w:t>Access to a spreadsheet application</w:t>
      </w:r>
    </w:p>
    <w:p w14:paraId="2A26B0CB" w14:textId="77777777" w:rsidR="00303E0B" w:rsidRDefault="007A761C">
      <w:pPr>
        <w:pStyle w:val="Heading2"/>
      </w:pPr>
      <w:bookmarkStart w:id="4" w:name="_tyjcwt" w:colFirst="0" w:colLast="0"/>
      <w:bookmarkEnd w:id="4"/>
      <w:r>
        <w:t>Assessment opportunities</w:t>
      </w:r>
    </w:p>
    <w:p w14:paraId="2959142C" w14:textId="77777777" w:rsidR="00303E0B" w:rsidRDefault="007A761C">
      <w:pPr>
        <w:rPr>
          <w:rFonts w:ascii="Quicksand" w:eastAsia="Quicksand" w:hAnsi="Quicksand" w:cs="Quicksand"/>
        </w:rPr>
      </w:pPr>
      <w:r>
        <w:rPr>
          <w:rFonts w:ascii="Quicksand" w:eastAsia="Quicksand" w:hAnsi="Quicksand" w:cs="Quicksand"/>
          <w:b/>
        </w:rPr>
        <w:t xml:space="preserve">Activity 1: </w:t>
      </w:r>
      <w:r>
        <w:rPr>
          <w:rFonts w:ascii="Quicksand" w:eastAsia="Quicksand" w:hAnsi="Quicksand" w:cs="Quicksand"/>
        </w:rPr>
        <w:t>Assess learner</w:t>
      </w:r>
      <w:r>
        <w:rPr>
          <w:rFonts w:ascii="Quicksand" w:eastAsia="Quicksand" w:hAnsi="Quicksand" w:cs="Quicksand"/>
        </w:rPr>
        <w:t>s’ ability to record data, without guidance.</w:t>
      </w:r>
    </w:p>
    <w:p w14:paraId="59679258" w14:textId="77777777" w:rsidR="00303E0B" w:rsidRDefault="007A761C">
      <w:pPr>
        <w:rPr>
          <w:rFonts w:ascii="Quicksand" w:eastAsia="Quicksand" w:hAnsi="Quicksand" w:cs="Quicksand"/>
        </w:rPr>
      </w:pPr>
      <w:r>
        <w:rPr>
          <w:rFonts w:ascii="Quicksand" w:eastAsia="Quicksand" w:hAnsi="Quicksand" w:cs="Quicksand"/>
          <w:b/>
        </w:rPr>
        <w:lastRenderedPageBreak/>
        <w:t>Activity 2:</w:t>
      </w:r>
      <w:r>
        <w:rPr>
          <w:rFonts w:ascii="Quicksand" w:eastAsia="Quicksand" w:hAnsi="Quicksand" w:cs="Quicksand"/>
        </w:rPr>
        <w:t xml:space="preserve"> Assess how effectively learners can organise their data into a given structure.</w:t>
      </w:r>
    </w:p>
    <w:p w14:paraId="75661E8F" w14:textId="77777777" w:rsidR="00303E0B" w:rsidRDefault="007A761C">
      <w:pPr>
        <w:rPr>
          <w:rFonts w:ascii="Quicksand" w:eastAsia="Quicksand" w:hAnsi="Quicksand" w:cs="Quicksand"/>
        </w:rPr>
      </w:pPr>
      <w:r>
        <w:rPr>
          <w:rFonts w:ascii="Quicksand" w:eastAsia="Quicksand" w:hAnsi="Quicksand" w:cs="Quicksand"/>
          <w:b/>
        </w:rPr>
        <w:t xml:space="preserve">Activity 3: </w:t>
      </w:r>
      <w:r>
        <w:rPr>
          <w:rFonts w:ascii="Quicksand" w:eastAsia="Quicksand" w:hAnsi="Quicksand" w:cs="Quicksand"/>
        </w:rPr>
        <w:t>Assess how effectively learners can enter data into a spreadsheet.</w:t>
      </w:r>
    </w:p>
    <w:p w14:paraId="69AF3B59" w14:textId="77777777" w:rsidR="00303E0B" w:rsidRDefault="007A761C">
      <w:pPr>
        <w:pStyle w:val="Heading2"/>
      </w:pPr>
      <w:bookmarkStart w:id="5" w:name="_3dy6vkm" w:colFirst="0" w:colLast="0"/>
      <w:bookmarkEnd w:id="5"/>
      <w:r>
        <w:t>Outline plan</w:t>
      </w:r>
    </w:p>
    <w:p w14:paraId="0284B8A7"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 xml:space="preserve">Please note that the slide deck labels the activities in the top right-hand corner to help you navigate the lesson. </w:t>
      </w:r>
    </w:p>
    <w:p w14:paraId="38AC80B0" w14:textId="77777777" w:rsidR="00303E0B" w:rsidRDefault="00303E0B">
      <w:pPr>
        <w:widowControl w:val="0"/>
        <w:spacing w:line="240" w:lineRule="auto"/>
        <w:rPr>
          <w:rFonts w:ascii="Quicksand" w:eastAsia="Quicksand" w:hAnsi="Quicksand" w:cs="Quicksand"/>
          <w:color w:val="434343"/>
        </w:rPr>
      </w:pPr>
    </w:p>
    <w:p w14:paraId="4CD1A540" w14:textId="77777777" w:rsidR="00303E0B" w:rsidRDefault="007A761C">
      <w:pPr>
        <w:widowControl w:val="0"/>
        <w:spacing w:line="240" w:lineRule="auto"/>
        <w:rPr>
          <w:rFonts w:ascii="Quicksand" w:eastAsia="Quicksand" w:hAnsi="Quicksand" w:cs="Quicksand"/>
          <w:i/>
          <w:color w:val="434343"/>
        </w:rPr>
      </w:pPr>
      <w:r>
        <w:rPr>
          <w:rFonts w:ascii="Quicksand" w:eastAsia="Quicksand" w:hAnsi="Quicksand" w:cs="Quicksand"/>
          <w:i/>
          <w:color w:val="434343"/>
        </w:rPr>
        <w:t>*Timings are rough guides</w:t>
      </w:r>
    </w:p>
    <w:tbl>
      <w:tblPr>
        <w:tblStyle w:val="a"/>
        <w:tblW w:w="93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470"/>
        <w:gridCol w:w="7875"/>
      </w:tblGrid>
      <w:tr w:rsidR="00303E0B" w14:paraId="6DD3E310" w14:textId="77777777">
        <w:tc>
          <w:tcPr>
            <w:tcW w:w="1470" w:type="dxa"/>
            <w:shd w:val="clear" w:color="auto" w:fill="auto"/>
            <w:tcMar>
              <w:top w:w="100" w:type="dxa"/>
              <w:left w:w="100" w:type="dxa"/>
              <w:bottom w:w="100" w:type="dxa"/>
              <w:right w:w="100" w:type="dxa"/>
            </w:tcMar>
          </w:tcPr>
          <w:p w14:paraId="21BD5368" w14:textId="77777777" w:rsidR="00303E0B" w:rsidRDefault="007A761C">
            <w:pPr>
              <w:pStyle w:val="Heading3"/>
              <w:widowControl w:val="0"/>
              <w:rPr>
                <w:sz w:val="22"/>
                <w:szCs w:val="22"/>
              </w:rPr>
            </w:pPr>
            <w:bookmarkStart w:id="6" w:name="_1t3h5sf" w:colFirst="0" w:colLast="0"/>
            <w:bookmarkEnd w:id="6"/>
            <w:r>
              <w:rPr>
                <w:sz w:val="22"/>
                <w:szCs w:val="22"/>
              </w:rPr>
              <w:t>Starter activity</w:t>
            </w:r>
          </w:p>
          <w:p w14:paraId="7735775F"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(Slides 1–3)</w:t>
            </w:r>
          </w:p>
          <w:p w14:paraId="5931795C"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p w14:paraId="5A09B661"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5 mins</w:t>
            </w:r>
          </w:p>
        </w:tc>
        <w:tc>
          <w:tcPr>
            <w:tcW w:w="7875" w:type="dxa"/>
            <w:shd w:val="clear" w:color="auto" w:fill="auto"/>
            <w:tcMar>
              <w:top w:w="100" w:type="dxa"/>
              <w:left w:w="100" w:type="dxa"/>
              <w:bottom w:w="100" w:type="dxa"/>
              <w:right w:w="100" w:type="dxa"/>
            </w:tcMar>
          </w:tcPr>
          <w:p w14:paraId="41A6A006"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highlight w:val="white"/>
              </w:rPr>
              <w:t>Introduction</w:t>
            </w:r>
          </w:p>
          <w:p w14:paraId="3055D887"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p w14:paraId="68607E6B" w14:textId="77777777" w:rsidR="00303E0B" w:rsidRDefault="007A761C">
            <w:pPr>
              <w:widowControl w:val="0"/>
              <w:pBdr>
                <w:top w:val="nil"/>
                <w:left w:val="nil"/>
                <w:bottom w:val="nil"/>
                <w:right w:val="nil"/>
                <w:between w:val="nil"/>
              </w:pBdr>
              <w:spacing w:line="240" w:lineRule="auto"/>
              <w:ind w:right="11"/>
              <w:rPr>
                <w:rFonts w:ascii="Quicksand" w:eastAsia="Quicksand" w:hAnsi="Quicksand" w:cs="Quicksand"/>
                <w:color w:val="434343"/>
              </w:rPr>
            </w:pPr>
            <w:r>
              <w:rPr>
                <w:rFonts w:ascii="Quicksand" w:eastAsia="Quicksand" w:hAnsi="Quicksand" w:cs="Quicksand"/>
                <w:color w:val="434343"/>
              </w:rPr>
              <w:t>Introduce the lesson and the learning objectives.</w:t>
            </w:r>
          </w:p>
          <w:p w14:paraId="58DEC4BB" w14:textId="77777777" w:rsidR="00303E0B" w:rsidRDefault="00303E0B">
            <w:pPr>
              <w:widowControl w:val="0"/>
              <w:pBdr>
                <w:top w:val="nil"/>
                <w:left w:val="nil"/>
                <w:bottom w:val="nil"/>
                <w:right w:val="nil"/>
                <w:between w:val="nil"/>
              </w:pBdr>
              <w:spacing w:line="240" w:lineRule="auto"/>
              <w:ind w:right="11"/>
              <w:rPr>
                <w:rFonts w:ascii="Quicksand" w:eastAsia="Quicksand" w:hAnsi="Quicksand" w:cs="Quicksand"/>
                <w:color w:val="434343"/>
              </w:rPr>
            </w:pPr>
          </w:p>
          <w:p w14:paraId="752E2F6B" w14:textId="77777777" w:rsidR="00303E0B" w:rsidRDefault="007A761C">
            <w:pPr>
              <w:widowControl w:val="0"/>
              <w:pBdr>
                <w:top w:val="nil"/>
                <w:left w:val="nil"/>
                <w:bottom w:val="nil"/>
                <w:right w:val="nil"/>
                <w:between w:val="nil"/>
              </w:pBdr>
              <w:spacing w:line="240" w:lineRule="auto"/>
              <w:ind w:right="11"/>
              <w:rPr>
                <w:rFonts w:ascii="Quicksand" w:eastAsia="Quicksand" w:hAnsi="Quicksand" w:cs="Quicksand"/>
                <w:color w:val="434343"/>
              </w:rPr>
            </w:pPr>
            <w:r>
              <w:rPr>
                <w:rFonts w:ascii="Quicksand" w:eastAsia="Quicksand" w:hAnsi="Quicksand" w:cs="Quicksand"/>
                <w:color w:val="434343"/>
              </w:rPr>
              <w:t>Show slide 3 and explain that in this lesson, learners will collect and organise data. Ask learners to suggest what data they could collect and how it could be organised. At this stage, responses will prob</w:t>
            </w:r>
            <w:r>
              <w:rPr>
                <w:rFonts w:ascii="Quicksand" w:eastAsia="Quicksand" w:hAnsi="Quicksand" w:cs="Quicksand"/>
                <w:color w:val="434343"/>
              </w:rPr>
              <w:t>ably be wide and varied. However, the use of the word ‘spreadsheets’ may influence some responses.</w:t>
            </w:r>
          </w:p>
          <w:p w14:paraId="07DE14E2" w14:textId="77777777" w:rsidR="00303E0B" w:rsidRDefault="00303E0B">
            <w:pPr>
              <w:widowControl w:val="0"/>
              <w:pBdr>
                <w:top w:val="nil"/>
                <w:left w:val="nil"/>
                <w:bottom w:val="nil"/>
                <w:right w:val="nil"/>
                <w:between w:val="nil"/>
              </w:pBdr>
              <w:spacing w:line="240" w:lineRule="auto"/>
              <w:ind w:right="11"/>
              <w:rPr>
                <w:rFonts w:ascii="Quicksand" w:eastAsia="Quicksand" w:hAnsi="Quicksand" w:cs="Quicksand"/>
                <w:color w:val="434343"/>
              </w:rPr>
            </w:pPr>
          </w:p>
        </w:tc>
      </w:tr>
      <w:tr w:rsidR="00303E0B" w14:paraId="637202D6" w14:textId="77777777">
        <w:tc>
          <w:tcPr>
            <w:tcW w:w="1470" w:type="dxa"/>
            <w:shd w:val="clear" w:color="auto" w:fill="auto"/>
            <w:tcMar>
              <w:top w:w="100" w:type="dxa"/>
              <w:left w:w="100" w:type="dxa"/>
              <w:bottom w:w="100" w:type="dxa"/>
              <w:right w:w="100" w:type="dxa"/>
            </w:tcMar>
          </w:tcPr>
          <w:p w14:paraId="74BAC928"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rPr>
              <w:t>Activity 1</w:t>
            </w:r>
          </w:p>
          <w:p w14:paraId="3CC3F68C"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(Slides 4–5)</w:t>
            </w:r>
          </w:p>
          <w:p w14:paraId="44D62BCE" w14:textId="77777777" w:rsidR="00303E0B" w:rsidRDefault="00303E0B">
            <w:pPr>
              <w:widowControl w:val="0"/>
              <w:spacing w:line="240" w:lineRule="auto"/>
              <w:rPr>
                <w:rFonts w:ascii="Quicksand" w:eastAsia="Quicksand" w:hAnsi="Quicksand" w:cs="Quicksand"/>
                <w:color w:val="434343"/>
              </w:rPr>
            </w:pPr>
          </w:p>
          <w:p w14:paraId="675B5A98"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10 mins</w:t>
            </w:r>
          </w:p>
        </w:tc>
        <w:tc>
          <w:tcPr>
            <w:tcW w:w="7875" w:type="dxa"/>
            <w:shd w:val="clear" w:color="auto" w:fill="auto"/>
            <w:tcMar>
              <w:top w:w="100" w:type="dxa"/>
              <w:left w:w="100" w:type="dxa"/>
              <w:bottom w:w="100" w:type="dxa"/>
              <w:right w:w="100" w:type="dxa"/>
            </w:tcMar>
          </w:tcPr>
          <w:p w14:paraId="36AF747A" w14:textId="77777777" w:rsidR="00303E0B" w:rsidRDefault="007A761C">
            <w:pPr>
              <w:widowControl w:val="0"/>
              <w:spacing w:line="240" w:lineRule="auto"/>
              <w:rPr>
                <w:rFonts w:ascii="Quicksand" w:eastAsia="Quicksand" w:hAnsi="Quicksand" w:cs="Quicksand"/>
                <w:b/>
                <w:color w:val="434343"/>
              </w:rPr>
            </w:pPr>
            <w:r>
              <w:rPr>
                <w:rFonts w:ascii="Quicksand" w:eastAsia="Quicksand" w:hAnsi="Quicksand" w:cs="Quicksand"/>
                <w:b/>
                <w:color w:val="434343"/>
              </w:rPr>
              <w:t>Collecting data</w:t>
            </w:r>
          </w:p>
          <w:p w14:paraId="04143E72" w14:textId="77777777" w:rsidR="00303E0B" w:rsidRDefault="00303E0B">
            <w:pPr>
              <w:widowControl w:val="0"/>
              <w:spacing w:line="240" w:lineRule="auto"/>
              <w:rPr>
                <w:rFonts w:ascii="Quicksand" w:eastAsia="Quicksand" w:hAnsi="Quicksand" w:cs="Quicksand"/>
                <w:b/>
                <w:color w:val="434343"/>
              </w:rPr>
            </w:pPr>
          </w:p>
          <w:p w14:paraId="17AC51E4"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Show slide 4. Tell learners that they will roll a dice to generate their data. Explain that in their table groups (typically four to six learners), each learner will roll the dice five times and collect their scores. They should then collect the scores for</w:t>
            </w:r>
            <w:r>
              <w:rPr>
                <w:rFonts w:ascii="Quicksand" w:eastAsia="Quicksand" w:hAnsi="Quicksand" w:cs="Quicksand"/>
                <w:color w:val="434343"/>
              </w:rPr>
              <w:t xml:space="preserve"> the whole table and record them in the same place. Learners could use dry wipe boards or pens/pencils and paper.</w:t>
            </w:r>
          </w:p>
          <w:p w14:paraId="48CE4D54"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br/>
              <w:t>Explain that the purpose of the exercise is to find out who on the table rolled the highest overall total.</w:t>
            </w:r>
          </w:p>
          <w:p w14:paraId="2D795D84" w14:textId="77777777" w:rsidR="00303E0B" w:rsidRDefault="00303E0B">
            <w:pPr>
              <w:widowControl w:val="0"/>
              <w:spacing w:line="240" w:lineRule="auto"/>
              <w:rPr>
                <w:rFonts w:ascii="Quicksand" w:eastAsia="Quicksand" w:hAnsi="Quicksand" w:cs="Quicksand"/>
                <w:color w:val="434343"/>
              </w:rPr>
            </w:pPr>
          </w:p>
          <w:p w14:paraId="24056E2A"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Do not provide any guidance or su</w:t>
            </w:r>
            <w:r>
              <w:rPr>
                <w:rFonts w:ascii="Quicksand" w:eastAsia="Quicksand" w:hAnsi="Quicksand" w:cs="Quicksand"/>
                <w:color w:val="434343"/>
              </w:rPr>
              <w:t>ggestions, this is an opportunity for learners to decide for themselves how they will complete the task. In subsequent activities, you will model how they could complete the task effectively.</w:t>
            </w:r>
          </w:p>
          <w:p w14:paraId="7F601998"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br/>
              <w:t>Show slide 5. Ask learners to reflect on how they recorded thei</w:t>
            </w:r>
            <w:r>
              <w:rPr>
                <w:rFonts w:ascii="Quicksand" w:eastAsia="Quicksand" w:hAnsi="Quicksand" w:cs="Quicksand"/>
                <w:color w:val="434343"/>
              </w:rPr>
              <w:t xml:space="preserve">r data. </w:t>
            </w:r>
          </w:p>
          <w:p w14:paraId="24C2E258" w14:textId="77777777" w:rsidR="00303E0B" w:rsidRDefault="00303E0B">
            <w:pPr>
              <w:widowControl w:val="0"/>
              <w:spacing w:line="240" w:lineRule="auto"/>
              <w:rPr>
                <w:rFonts w:ascii="Quicksand" w:eastAsia="Quicksand" w:hAnsi="Quicksand" w:cs="Quicksand"/>
                <w:color w:val="434343"/>
              </w:rPr>
            </w:pPr>
          </w:p>
        </w:tc>
      </w:tr>
      <w:tr w:rsidR="00303E0B" w14:paraId="227EC005" w14:textId="77777777">
        <w:tc>
          <w:tcPr>
            <w:tcW w:w="1470" w:type="dxa"/>
            <w:shd w:val="clear" w:color="auto" w:fill="auto"/>
            <w:tcMar>
              <w:top w:w="100" w:type="dxa"/>
              <w:left w:w="100" w:type="dxa"/>
              <w:bottom w:w="100" w:type="dxa"/>
              <w:right w:w="100" w:type="dxa"/>
            </w:tcMar>
          </w:tcPr>
          <w:p w14:paraId="27E3C6C7"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b/>
                <w:color w:val="434343"/>
              </w:rPr>
              <w:t>Activity 2</w:t>
            </w:r>
            <w:r>
              <w:rPr>
                <w:rFonts w:ascii="Quicksand" w:eastAsia="Quicksand" w:hAnsi="Quicksand" w:cs="Quicksand"/>
                <w:b/>
                <w:color w:val="434343"/>
              </w:rPr>
              <w:br/>
            </w:r>
            <w:r>
              <w:rPr>
                <w:rFonts w:ascii="Quicksand" w:eastAsia="Quicksand" w:hAnsi="Quicksand" w:cs="Quicksand"/>
                <w:color w:val="434343"/>
              </w:rPr>
              <w:t>(Slides 6–8)</w:t>
            </w:r>
          </w:p>
          <w:p w14:paraId="684D7D82" w14:textId="77777777" w:rsidR="00303E0B" w:rsidRDefault="00303E0B">
            <w:pPr>
              <w:widowControl w:val="0"/>
              <w:spacing w:line="240" w:lineRule="auto"/>
              <w:rPr>
                <w:rFonts w:ascii="Quicksand" w:eastAsia="Quicksand" w:hAnsi="Quicksand" w:cs="Quicksand"/>
                <w:color w:val="434343"/>
              </w:rPr>
            </w:pPr>
          </w:p>
          <w:p w14:paraId="7FD4CD6C"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10 mins</w:t>
            </w:r>
          </w:p>
        </w:tc>
        <w:tc>
          <w:tcPr>
            <w:tcW w:w="7875" w:type="dxa"/>
            <w:shd w:val="clear" w:color="auto" w:fill="auto"/>
            <w:tcMar>
              <w:top w:w="100" w:type="dxa"/>
              <w:left w:w="100" w:type="dxa"/>
              <w:bottom w:w="100" w:type="dxa"/>
              <w:right w:w="100" w:type="dxa"/>
            </w:tcMar>
          </w:tcPr>
          <w:p w14:paraId="21D9A957" w14:textId="77777777" w:rsidR="00303E0B" w:rsidRDefault="007A761C">
            <w:pPr>
              <w:widowControl w:val="0"/>
              <w:spacing w:line="240" w:lineRule="auto"/>
              <w:rPr>
                <w:rFonts w:ascii="Quicksand" w:eastAsia="Quicksand" w:hAnsi="Quicksand" w:cs="Quicksand"/>
                <w:b/>
                <w:color w:val="434343"/>
              </w:rPr>
            </w:pPr>
            <w:r>
              <w:rPr>
                <w:rFonts w:ascii="Quicksand" w:eastAsia="Quicksand" w:hAnsi="Quicksand" w:cs="Quicksand"/>
                <w:b/>
                <w:color w:val="434343"/>
              </w:rPr>
              <w:t>Organising your data</w:t>
            </w:r>
          </w:p>
          <w:p w14:paraId="364220E2" w14:textId="77777777" w:rsidR="00303E0B" w:rsidRDefault="00303E0B">
            <w:pPr>
              <w:widowControl w:val="0"/>
              <w:spacing w:line="240" w:lineRule="auto"/>
              <w:rPr>
                <w:rFonts w:ascii="Quicksand" w:eastAsia="Quicksand" w:hAnsi="Quicksand" w:cs="Quicksand"/>
                <w:color w:val="434343"/>
              </w:rPr>
            </w:pPr>
          </w:p>
          <w:p w14:paraId="21F4535F"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Show learners the blank table on slide 6. Ask them to suggest what they think the column headings (highlighted in blue) could be. After a short discussion, move on to slide 7 and explain that this is one way that learners could record their data.</w:t>
            </w:r>
          </w:p>
          <w:p w14:paraId="352F321D" w14:textId="77777777" w:rsidR="00303E0B" w:rsidRDefault="00303E0B">
            <w:pPr>
              <w:widowControl w:val="0"/>
              <w:spacing w:line="240" w:lineRule="auto"/>
              <w:rPr>
                <w:rFonts w:ascii="Quicksand" w:eastAsia="Quicksand" w:hAnsi="Quicksand" w:cs="Quicksand"/>
                <w:color w:val="434343"/>
              </w:rPr>
            </w:pPr>
          </w:p>
          <w:p w14:paraId="6EA24AC3"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Give out</w:t>
            </w:r>
            <w:r>
              <w:rPr>
                <w:rFonts w:ascii="Quicksand" w:eastAsia="Quicksand" w:hAnsi="Quicksand" w:cs="Quicksand"/>
                <w:color w:val="434343"/>
              </w:rPr>
              <w:t xml:space="preserve"> the activity sheet which has a template table and ask learners to organise their data on the sheet. There is an example of what this could look like on slide 8.</w:t>
            </w:r>
          </w:p>
          <w:p w14:paraId="631B1EF0" w14:textId="77777777" w:rsidR="00303E0B" w:rsidRDefault="00303E0B">
            <w:pPr>
              <w:widowControl w:val="0"/>
              <w:spacing w:line="240" w:lineRule="auto"/>
              <w:rPr>
                <w:rFonts w:ascii="Quicksand" w:eastAsia="Quicksand" w:hAnsi="Quicksand" w:cs="Quicksand"/>
                <w:color w:val="434343"/>
              </w:rPr>
            </w:pPr>
          </w:p>
        </w:tc>
      </w:tr>
      <w:tr w:rsidR="00303E0B" w14:paraId="221864B0" w14:textId="77777777">
        <w:tc>
          <w:tcPr>
            <w:tcW w:w="1470" w:type="dxa"/>
            <w:shd w:val="clear" w:color="auto" w:fill="auto"/>
            <w:tcMar>
              <w:top w:w="100" w:type="dxa"/>
              <w:left w:w="100" w:type="dxa"/>
              <w:bottom w:w="100" w:type="dxa"/>
              <w:right w:w="100" w:type="dxa"/>
            </w:tcMar>
          </w:tcPr>
          <w:p w14:paraId="739949B1"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rPr>
              <w:lastRenderedPageBreak/>
              <w:t>Activity 3</w:t>
            </w:r>
          </w:p>
          <w:p w14:paraId="5AAD0F40"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(Slides 9–10)</w:t>
            </w:r>
          </w:p>
          <w:p w14:paraId="3C2EDF25" w14:textId="77777777" w:rsidR="00303E0B" w:rsidRDefault="00303E0B">
            <w:pPr>
              <w:widowControl w:val="0"/>
              <w:spacing w:line="240" w:lineRule="auto"/>
              <w:rPr>
                <w:rFonts w:ascii="Quicksand" w:eastAsia="Quicksand" w:hAnsi="Quicksand" w:cs="Quicksand"/>
                <w:color w:val="434343"/>
              </w:rPr>
            </w:pPr>
          </w:p>
          <w:p w14:paraId="6D33608F"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15 mins</w:t>
            </w:r>
          </w:p>
        </w:tc>
        <w:tc>
          <w:tcPr>
            <w:tcW w:w="7875" w:type="dxa"/>
            <w:shd w:val="clear" w:color="auto" w:fill="auto"/>
            <w:tcMar>
              <w:top w:w="100" w:type="dxa"/>
              <w:left w:w="100" w:type="dxa"/>
              <w:bottom w:w="100" w:type="dxa"/>
              <w:right w:w="100" w:type="dxa"/>
            </w:tcMar>
          </w:tcPr>
          <w:p w14:paraId="670C5126"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rPr>
              <w:t>Recording your data on a computer</w:t>
            </w:r>
          </w:p>
          <w:p w14:paraId="5E91FABD" w14:textId="77777777" w:rsidR="00303E0B" w:rsidRDefault="00303E0B">
            <w:pPr>
              <w:widowControl w:val="0"/>
              <w:pBdr>
                <w:top w:val="nil"/>
                <w:left w:val="nil"/>
                <w:bottom w:val="nil"/>
                <w:right w:val="nil"/>
                <w:between w:val="nil"/>
              </w:pBdr>
              <w:spacing w:line="240" w:lineRule="auto"/>
              <w:rPr>
                <w:rFonts w:ascii="Quicksand" w:eastAsia="Quicksand" w:hAnsi="Quicksand" w:cs="Quicksand"/>
                <w:b/>
                <w:color w:val="434343"/>
              </w:rPr>
            </w:pPr>
          </w:p>
          <w:p w14:paraId="214D1FFF" w14:textId="2024FC01"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 xml:space="preserve">Show slide 9. Ask learners what they could use to make a table on a computer. Depending on their prior experience, they may suggest word processing packages, such as MS Word or Google Docs; presentation tools, such as MS </w:t>
            </w:r>
            <w:r w:rsidR="00DC29C6">
              <w:rPr>
                <w:rFonts w:ascii="Quicksand" w:eastAsia="Quicksand" w:hAnsi="Quicksand" w:cs="Quicksand"/>
                <w:color w:val="434343"/>
              </w:rPr>
              <w:t>PowerPoint</w:t>
            </w:r>
            <w:r>
              <w:rPr>
                <w:rFonts w:ascii="Quicksand" w:eastAsia="Quicksand" w:hAnsi="Quicksand" w:cs="Quicksand"/>
                <w:color w:val="434343"/>
              </w:rPr>
              <w:t xml:space="preserve"> or Google Slides; or spr</w:t>
            </w:r>
            <w:r>
              <w:rPr>
                <w:rFonts w:ascii="Quicksand" w:eastAsia="Quicksand" w:hAnsi="Quicksand" w:cs="Quicksand"/>
                <w:color w:val="434343"/>
              </w:rPr>
              <w:t>eadsheet packages, such as MS Excel or Google Sheets. These are all valid answers. Build the slide to reveal (without explanation as to why) that in this case they will record their information in a spreadsheet.</w:t>
            </w:r>
          </w:p>
          <w:p w14:paraId="26D12C5D"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br/>
              <w:t>Show slide 10 and explain that they need to</w:t>
            </w:r>
            <w:r>
              <w:rPr>
                <w:rFonts w:ascii="Quicksand" w:eastAsia="Quicksand" w:hAnsi="Quicksand" w:cs="Quicksand"/>
                <w:color w:val="434343"/>
              </w:rPr>
              <w:t xml:space="preserve"> copy the column headings from the table they completed in the previous activity and enter the data. To do this, they need to open a new spreadsheet in whichever application you have selected. </w:t>
            </w:r>
          </w:p>
          <w:p w14:paraId="419FC480"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p w14:paraId="29423EBD"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Because they are entering data that does not require any form</w:t>
            </w:r>
            <w:r>
              <w:rPr>
                <w:rFonts w:ascii="Quicksand" w:eastAsia="Quicksand" w:hAnsi="Quicksand" w:cs="Quicksand"/>
                <w:color w:val="434343"/>
              </w:rPr>
              <w:t>atting, learners should not need much support for this activity, even if they have not previously used a spreadsheet application.</w:t>
            </w:r>
          </w:p>
          <w:p w14:paraId="6D6DA323"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tc>
      </w:tr>
      <w:tr w:rsidR="00303E0B" w14:paraId="24CAA3DC" w14:textId="77777777">
        <w:tc>
          <w:tcPr>
            <w:tcW w:w="1470" w:type="dxa"/>
            <w:shd w:val="clear" w:color="auto" w:fill="auto"/>
            <w:tcMar>
              <w:top w:w="100" w:type="dxa"/>
              <w:left w:w="100" w:type="dxa"/>
              <w:bottom w:w="100" w:type="dxa"/>
              <w:right w:w="100" w:type="dxa"/>
            </w:tcMar>
          </w:tcPr>
          <w:p w14:paraId="1CDB67DE"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rPr>
              <w:t>Plenary</w:t>
            </w:r>
          </w:p>
          <w:p w14:paraId="282C5E68"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(Slide 11)</w:t>
            </w:r>
          </w:p>
          <w:p w14:paraId="492E7C72" w14:textId="77777777" w:rsidR="00303E0B" w:rsidRDefault="00303E0B">
            <w:pPr>
              <w:widowControl w:val="0"/>
              <w:spacing w:line="240" w:lineRule="auto"/>
              <w:rPr>
                <w:rFonts w:ascii="Quicksand" w:eastAsia="Quicksand" w:hAnsi="Quicksand" w:cs="Quicksand"/>
                <w:color w:val="434343"/>
              </w:rPr>
            </w:pPr>
          </w:p>
          <w:p w14:paraId="1768F1E4" w14:textId="77777777" w:rsidR="00303E0B" w:rsidRDefault="007A761C">
            <w:pPr>
              <w:widowControl w:val="0"/>
              <w:spacing w:line="240" w:lineRule="auto"/>
              <w:rPr>
                <w:rFonts w:ascii="Quicksand" w:eastAsia="Quicksand" w:hAnsi="Quicksand" w:cs="Quicksand"/>
                <w:color w:val="434343"/>
              </w:rPr>
            </w:pPr>
            <w:r>
              <w:rPr>
                <w:rFonts w:ascii="Quicksand" w:eastAsia="Quicksand" w:hAnsi="Quicksand" w:cs="Quicksand"/>
                <w:color w:val="434343"/>
              </w:rPr>
              <w:t>5 mins</w:t>
            </w:r>
          </w:p>
        </w:tc>
        <w:tc>
          <w:tcPr>
            <w:tcW w:w="7875" w:type="dxa"/>
            <w:shd w:val="clear" w:color="auto" w:fill="auto"/>
            <w:tcMar>
              <w:top w:w="100" w:type="dxa"/>
              <w:left w:w="100" w:type="dxa"/>
              <w:bottom w:w="100" w:type="dxa"/>
              <w:right w:w="100" w:type="dxa"/>
            </w:tcMar>
          </w:tcPr>
          <w:p w14:paraId="30146E74" w14:textId="77777777" w:rsidR="00303E0B" w:rsidRDefault="007A761C">
            <w:pPr>
              <w:widowControl w:val="0"/>
              <w:pBdr>
                <w:top w:val="nil"/>
                <w:left w:val="nil"/>
                <w:bottom w:val="nil"/>
                <w:right w:val="nil"/>
                <w:between w:val="nil"/>
              </w:pBdr>
              <w:spacing w:line="240" w:lineRule="auto"/>
              <w:rPr>
                <w:rFonts w:ascii="Quicksand" w:eastAsia="Quicksand" w:hAnsi="Quicksand" w:cs="Quicksand"/>
                <w:b/>
                <w:color w:val="434343"/>
              </w:rPr>
            </w:pPr>
            <w:r>
              <w:rPr>
                <w:rFonts w:ascii="Quicksand" w:eastAsia="Quicksand" w:hAnsi="Quicksand" w:cs="Quicksand"/>
                <w:b/>
                <w:color w:val="434343"/>
              </w:rPr>
              <w:t>Why use a spreadsheet?</w:t>
            </w:r>
          </w:p>
          <w:p w14:paraId="1ADE1B94" w14:textId="77777777" w:rsidR="00303E0B" w:rsidRDefault="00303E0B">
            <w:pPr>
              <w:widowControl w:val="0"/>
              <w:pBdr>
                <w:top w:val="nil"/>
                <w:left w:val="nil"/>
                <w:bottom w:val="nil"/>
                <w:right w:val="nil"/>
                <w:between w:val="nil"/>
              </w:pBdr>
              <w:spacing w:line="240" w:lineRule="auto"/>
              <w:rPr>
                <w:rFonts w:ascii="Quicksand" w:eastAsia="Quicksand" w:hAnsi="Quicksand" w:cs="Quicksand"/>
                <w:b/>
                <w:color w:val="434343"/>
              </w:rPr>
            </w:pPr>
          </w:p>
          <w:p w14:paraId="55D4C286"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 xml:space="preserve">Ask learners to explain what they entered into their spreadsheets. They should identify that they entered column headings and numbers in the main part of the table. </w:t>
            </w:r>
          </w:p>
          <w:p w14:paraId="5E376CA3"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p w14:paraId="0F4FA0E1"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b/>
                <w:color w:val="434343"/>
              </w:rPr>
              <w:t xml:space="preserve">Note: </w:t>
            </w:r>
            <w:r>
              <w:rPr>
                <w:rFonts w:ascii="Quicksand" w:eastAsia="Quicksand" w:hAnsi="Quicksand" w:cs="Quicksand"/>
                <w:color w:val="434343"/>
              </w:rPr>
              <w:t>Some learners may differentiate between the individual rolls and the totals. They w</w:t>
            </w:r>
            <w:r>
              <w:rPr>
                <w:rFonts w:ascii="Quicksand" w:eastAsia="Quicksand" w:hAnsi="Quicksand" w:cs="Quicksand"/>
                <w:color w:val="434343"/>
              </w:rPr>
              <w:t>ill learn how they can create totals using formulas in Lesson 3 of this unit.</w:t>
            </w:r>
          </w:p>
          <w:p w14:paraId="7CDB8E48"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p w14:paraId="0DEE695A" w14:textId="77777777" w:rsidR="00303E0B" w:rsidRDefault="007A761C">
            <w:pPr>
              <w:widowControl w:val="0"/>
              <w:pBdr>
                <w:top w:val="nil"/>
                <w:left w:val="nil"/>
                <w:bottom w:val="nil"/>
                <w:right w:val="nil"/>
                <w:between w:val="nil"/>
              </w:pBdr>
              <w:spacing w:line="240" w:lineRule="auto"/>
              <w:rPr>
                <w:rFonts w:ascii="Quicksand" w:eastAsia="Quicksand" w:hAnsi="Quicksand" w:cs="Quicksand"/>
                <w:color w:val="434343"/>
              </w:rPr>
            </w:pPr>
            <w:r>
              <w:rPr>
                <w:rFonts w:ascii="Quicksand" w:eastAsia="Quicksand" w:hAnsi="Quicksand" w:cs="Quicksand"/>
                <w:color w:val="434343"/>
              </w:rPr>
              <w:t>Ask learners what else they think they could record in a spreadsheet.</w:t>
            </w:r>
          </w:p>
          <w:p w14:paraId="0E4C6BA7" w14:textId="77777777" w:rsidR="00303E0B" w:rsidRDefault="00303E0B">
            <w:pPr>
              <w:widowControl w:val="0"/>
              <w:pBdr>
                <w:top w:val="nil"/>
                <w:left w:val="nil"/>
                <w:bottom w:val="nil"/>
                <w:right w:val="nil"/>
                <w:between w:val="nil"/>
              </w:pBdr>
              <w:spacing w:line="240" w:lineRule="auto"/>
              <w:rPr>
                <w:rFonts w:ascii="Quicksand" w:eastAsia="Quicksand" w:hAnsi="Quicksand" w:cs="Quicksand"/>
                <w:color w:val="434343"/>
              </w:rPr>
            </w:pPr>
          </w:p>
        </w:tc>
      </w:tr>
      <w:tr w:rsidR="00303E0B" w14:paraId="2CDA62F3" w14:textId="77777777">
        <w:tc>
          <w:tcPr>
            <w:tcW w:w="1470" w:type="dxa"/>
            <w:shd w:val="clear" w:color="auto" w:fill="auto"/>
            <w:tcMar>
              <w:top w:w="100" w:type="dxa"/>
              <w:left w:w="100" w:type="dxa"/>
              <w:bottom w:w="100" w:type="dxa"/>
              <w:right w:w="100" w:type="dxa"/>
            </w:tcMar>
          </w:tcPr>
          <w:p w14:paraId="0CFCFFA0" w14:textId="77777777" w:rsidR="00303E0B" w:rsidRDefault="007A761C">
            <w:pPr>
              <w:spacing w:line="240" w:lineRule="auto"/>
              <w:rPr>
                <w:rFonts w:ascii="Quicksand" w:eastAsia="Quicksand" w:hAnsi="Quicksand" w:cs="Quicksand"/>
                <w:b/>
              </w:rPr>
            </w:pPr>
            <w:r>
              <w:rPr>
                <w:rFonts w:ascii="Quicksand" w:eastAsia="Quicksand" w:hAnsi="Quicksand" w:cs="Quicksand"/>
                <w:b/>
              </w:rPr>
              <w:t>Next time</w:t>
            </w:r>
          </w:p>
          <w:p w14:paraId="60E7424A" w14:textId="77777777" w:rsidR="00303E0B" w:rsidRDefault="007A761C">
            <w:pPr>
              <w:widowControl w:val="0"/>
              <w:spacing w:line="240" w:lineRule="auto"/>
              <w:rPr>
                <w:rFonts w:ascii="Quicksand" w:eastAsia="Quicksand" w:hAnsi="Quicksand" w:cs="Quicksand"/>
              </w:rPr>
            </w:pPr>
            <w:r>
              <w:rPr>
                <w:rFonts w:ascii="Quicksand" w:eastAsia="Quicksand" w:hAnsi="Quicksand" w:cs="Quicksand"/>
              </w:rPr>
              <w:t>(Slides 12–13)</w:t>
            </w:r>
          </w:p>
          <w:p w14:paraId="22E6EE52" w14:textId="77777777" w:rsidR="00303E0B" w:rsidRDefault="00303E0B">
            <w:pPr>
              <w:widowControl w:val="0"/>
              <w:spacing w:line="240" w:lineRule="auto"/>
              <w:rPr>
                <w:rFonts w:ascii="Quicksand" w:eastAsia="Quicksand" w:hAnsi="Quicksand" w:cs="Quicksand"/>
              </w:rPr>
            </w:pPr>
          </w:p>
          <w:p w14:paraId="105186AD" w14:textId="77777777" w:rsidR="00303E0B" w:rsidRDefault="007A761C">
            <w:pPr>
              <w:widowControl w:val="0"/>
              <w:spacing w:line="240" w:lineRule="auto"/>
              <w:rPr>
                <w:rFonts w:ascii="Quicksand" w:eastAsia="Quicksand" w:hAnsi="Quicksand" w:cs="Quicksand"/>
              </w:rPr>
            </w:pPr>
            <w:r>
              <w:rPr>
                <w:rFonts w:ascii="Quicksand" w:eastAsia="Quicksand" w:hAnsi="Quicksand" w:cs="Quicksand"/>
              </w:rPr>
              <w:t>5 mins</w:t>
            </w:r>
          </w:p>
        </w:tc>
        <w:tc>
          <w:tcPr>
            <w:tcW w:w="7875" w:type="dxa"/>
            <w:shd w:val="clear" w:color="auto" w:fill="auto"/>
            <w:tcMar>
              <w:top w:w="100" w:type="dxa"/>
              <w:left w:w="100" w:type="dxa"/>
              <w:bottom w:w="100" w:type="dxa"/>
              <w:right w:w="100" w:type="dxa"/>
            </w:tcMar>
          </w:tcPr>
          <w:p w14:paraId="22A847E2" w14:textId="77777777" w:rsidR="00303E0B" w:rsidRDefault="007A761C">
            <w:pPr>
              <w:rPr>
                <w:rFonts w:ascii="Quicksand" w:eastAsia="Quicksand" w:hAnsi="Quicksand" w:cs="Quicksand"/>
              </w:rPr>
            </w:pPr>
            <w:r>
              <w:rPr>
                <w:rFonts w:ascii="Quicksand" w:eastAsia="Quicksand" w:hAnsi="Quicksand" w:cs="Quicksand"/>
              </w:rPr>
              <w:t>Review the ‘Assessment’ and ‘Summary’ slides.</w:t>
            </w:r>
          </w:p>
        </w:tc>
      </w:tr>
    </w:tbl>
    <w:p w14:paraId="5112C072" w14:textId="77777777" w:rsidR="00303E0B" w:rsidRDefault="00303E0B">
      <w:pPr>
        <w:rPr>
          <w:rFonts w:ascii="Quicksand" w:eastAsia="Quicksand" w:hAnsi="Quicksand" w:cs="Quicksand"/>
        </w:rPr>
      </w:pPr>
    </w:p>
    <w:p w14:paraId="13C82A52" w14:textId="77777777" w:rsidR="00303E0B" w:rsidRDefault="007A761C">
      <w:pPr>
        <w:rPr>
          <w:rFonts w:ascii="Quicksand" w:eastAsia="Quicksand" w:hAnsi="Quicksand" w:cs="Quicksand"/>
          <w:color w:val="666666"/>
          <w:sz w:val="18"/>
          <w:szCs w:val="18"/>
        </w:rPr>
      </w:pPr>
      <w:r>
        <w:rPr>
          <w:rFonts w:ascii="Quicksand" w:eastAsia="Quicksand" w:hAnsi="Quicksand" w:cs="Quicksand"/>
          <w:color w:val="666666"/>
          <w:sz w:val="18"/>
          <w:szCs w:val="18"/>
        </w:rPr>
        <w:t xml:space="preserve">Resources are updated regularly — the latest version is available at: </w:t>
      </w:r>
      <w:hyperlink r:id="rId7">
        <w:r>
          <w:rPr>
            <w:rFonts w:ascii="Quicksand" w:eastAsia="Quicksand" w:hAnsi="Quicksand" w:cs="Quicksand"/>
            <w:color w:val="1155CC"/>
            <w:sz w:val="18"/>
            <w:szCs w:val="18"/>
            <w:u w:val="single"/>
          </w:rPr>
          <w:t>ncce.io/</w:t>
        </w:r>
        <w:proofErr w:type="spellStart"/>
        <w:r>
          <w:rPr>
            <w:rFonts w:ascii="Quicksand" w:eastAsia="Quicksand" w:hAnsi="Quicksand" w:cs="Quicksand"/>
            <w:color w:val="1155CC"/>
            <w:sz w:val="18"/>
            <w:szCs w:val="18"/>
            <w:u w:val="single"/>
          </w:rPr>
          <w:t>tcc</w:t>
        </w:r>
        <w:proofErr w:type="spellEnd"/>
      </w:hyperlink>
      <w:r>
        <w:rPr>
          <w:rFonts w:ascii="Quicksand" w:eastAsia="Quicksand" w:hAnsi="Quicksand" w:cs="Quicksand"/>
          <w:color w:val="666666"/>
          <w:sz w:val="18"/>
          <w:szCs w:val="18"/>
        </w:rPr>
        <w:t>.</w:t>
      </w:r>
    </w:p>
    <w:p w14:paraId="010C4D5B" w14:textId="77777777" w:rsidR="00303E0B" w:rsidRDefault="00303E0B">
      <w:pPr>
        <w:rPr>
          <w:rFonts w:ascii="Quicksand" w:eastAsia="Quicksand" w:hAnsi="Quicksand" w:cs="Quicksand"/>
          <w:color w:val="666666"/>
          <w:sz w:val="18"/>
          <w:szCs w:val="18"/>
        </w:rPr>
      </w:pPr>
    </w:p>
    <w:p w14:paraId="50004D10" w14:textId="77777777" w:rsidR="00303E0B" w:rsidRDefault="007A761C">
      <w:pPr>
        <w:rPr>
          <w:rFonts w:ascii="Quicksand" w:eastAsia="Quicksand" w:hAnsi="Quicksand" w:cs="Quicksand"/>
          <w:color w:val="666666"/>
          <w:sz w:val="18"/>
          <w:szCs w:val="18"/>
        </w:rPr>
      </w:pPr>
      <w:r>
        <w:rPr>
          <w:rFonts w:ascii="Quicksand" w:eastAsia="Quicksand" w:hAnsi="Quicksand" w:cs="Quicksand"/>
          <w:color w:val="666666"/>
          <w:sz w:val="18"/>
          <w:szCs w:val="18"/>
        </w:rPr>
        <w:t>This resource is licensed under the Open Government Licence, version 3. For more information on this licence, see</w:t>
      </w:r>
      <w:hyperlink r:id="rId8">
        <w:r>
          <w:rPr>
            <w:rFonts w:ascii="Quicksand" w:eastAsia="Quicksand" w:hAnsi="Quicksand" w:cs="Quicksand"/>
            <w:color w:val="1155CC"/>
            <w:sz w:val="18"/>
            <w:szCs w:val="18"/>
            <w:u w:val="single"/>
          </w:rPr>
          <w:t xml:space="preserve"> ncce.io/</w:t>
        </w:r>
        <w:proofErr w:type="spellStart"/>
        <w:r>
          <w:rPr>
            <w:rFonts w:ascii="Quicksand" w:eastAsia="Quicksand" w:hAnsi="Quicksand" w:cs="Quicksand"/>
            <w:color w:val="1155CC"/>
            <w:sz w:val="18"/>
            <w:szCs w:val="18"/>
            <w:u w:val="single"/>
          </w:rPr>
          <w:t>ogl</w:t>
        </w:r>
        <w:proofErr w:type="spellEnd"/>
      </w:hyperlink>
      <w:r>
        <w:rPr>
          <w:rFonts w:ascii="Quicksand" w:eastAsia="Quicksand" w:hAnsi="Quicksand" w:cs="Quicksand"/>
          <w:color w:val="666666"/>
          <w:sz w:val="18"/>
          <w:szCs w:val="18"/>
        </w:rPr>
        <w:t>.</w:t>
      </w:r>
    </w:p>
    <w:p w14:paraId="369930B6" w14:textId="77777777" w:rsidR="00303E0B" w:rsidRDefault="00303E0B">
      <w:pPr>
        <w:rPr>
          <w:rFonts w:ascii="Quicksand" w:eastAsia="Quicksand" w:hAnsi="Quicksand" w:cs="Quicksand"/>
          <w:color w:val="666666"/>
          <w:sz w:val="18"/>
          <w:szCs w:val="18"/>
        </w:rPr>
      </w:pPr>
    </w:p>
    <w:sectPr w:rsidR="00303E0B">
      <w:headerReference w:type="even" r:id="rId9"/>
      <w:headerReference w:type="default" r:id="rId10"/>
      <w:footerReference w:type="default" r:id="rId11"/>
      <w:headerReference w:type="first" r:id="rId12"/>
      <w:footerReference w:type="first" r:id="rId13"/>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95A9" w14:textId="77777777" w:rsidR="007A761C" w:rsidRDefault="007A761C">
      <w:pPr>
        <w:spacing w:line="240" w:lineRule="auto"/>
      </w:pPr>
      <w:r>
        <w:separator/>
      </w:r>
    </w:p>
  </w:endnote>
  <w:endnote w:type="continuationSeparator" w:id="0">
    <w:p w14:paraId="3650F5D2" w14:textId="77777777" w:rsidR="007A761C" w:rsidRDefault="007A7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icksand">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0BD7" w14:textId="77777777" w:rsidR="00303E0B" w:rsidRDefault="007A761C">
    <w:pPr>
      <w:rPr>
        <w:rFonts w:ascii="Quicksand" w:eastAsia="Quicksand" w:hAnsi="Quicksand" w:cs="Quicksand"/>
        <w:color w:val="666666"/>
        <w:sz w:val="18"/>
        <w:szCs w:val="18"/>
      </w:rPr>
    </w:pPr>
    <w:r>
      <w:rPr>
        <w:rFonts w:ascii="Quicksand" w:eastAsia="Quicksand" w:hAnsi="Quicksand" w:cs="Quicksand"/>
        <w:color w:val="666666"/>
        <w:sz w:val="18"/>
        <w:szCs w:val="18"/>
      </w:rPr>
      <w:t xml:space="preserve">Page </w:t>
    </w:r>
    <w:r>
      <w:rPr>
        <w:rFonts w:ascii="Quicksand" w:eastAsia="Quicksand" w:hAnsi="Quicksand" w:cs="Quicksand"/>
        <w:color w:val="666666"/>
        <w:sz w:val="18"/>
        <w:szCs w:val="18"/>
      </w:rPr>
      <w:fldChar w:fldCharType="begin"/>
    </w:r>
    <w:r>
      <w:rPr>
        <w:rFonts w:ascii="Quicksand" w:eastAsia="Quicksand" w:hAnsi="Quicksand" w:cs="Quicksand"/>
        <w:color w:val="666666"/>
        <w:sz w:val="18"/>
        <w:szCs w:val="18"/>
      </w:rPr>
      <w:instrText>PAGE</w:instrText>
    </w:r>
    <w:r>
      <w:rPr>
        <w:rFonts w:ascii="Quicksand" w:eastAsia="Quicksand" w:hAnsi="Quicksand" w:cs="Quicksand"/>
        <w:color w:val="666666"/>
        <w:sz w:val="18"/>
        <w:szCs w:val="18"/>
      </w:rPr>
      <w:fldChar w:fldCharType="separate"/>
    </w:r>
    <w:r w:rsidR="00DC29C6">
      <w:rPr>
        <w:rFonts w:ascii="Quicksand" w:eastAsia="Quicksand" w:hAnsi="Quicksand" w:cs="Quicksand"/>
        <w:noProof/>
        <w:color w:val="666666"/>
        <w:sz w:val="18"/>
        <w:szCs w:val="18"/>
      </w:rPr>
      <w:t>2</w:t>
    </w:r>
    <w:r>
      <w:rPr>
        <w:rFonts w:ascii="Quicksand" w:eastAsia="Quicksand" w:hAnsi="Quicksand" w:cs="Quicksand"/>
        <w:color w:val="666666"/>
        <w:sz w:val="18"/>
        <w:szCs w:val="18"/>
      </w:rPr>
      <w:fldChar w:fldCharType="end"/>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t>Last updated: 08-02-22</w:t>
    </w:r>
  </w:p>
  <w:p w14:paraId="0988FB5E" w14:textId="77777777" w:rsidR="00303E0B" w:rsidRDefault="00303E0B">
    <w:pPr>
      <w:rPr>
        <w:rFonts w:ascii="Quicksand" w:eastAsia="Quicksand" w:hAnsi="Quicksand" w:cs="Quicksand"/>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9293" w14:textId="77777777" w:rsidR="00303E0B" w:rsidRDefault="007A761C">
    <w:r>
      <w:rPr>
        <w:rFonts w:ascii="Quicksand" w:eastAsia="Quicksand" w:hAnsi="Quicksand" w:cs="Quicksand"/>
        <w:color w:val="666666"/>
        <w:sz w:val="18"/>
        <w:szCs w:val="18"/>
      </w:rPr>
      <w:t xml:space="preserve">Page </w:t>
    </w:r>
    <w:r>
      <w:rPr>
        <w:rFonts w:ascii="Quicksand" w:eastAsia="Quicksand" w:hAnsi="Quicksand" w:cs="Quicksand"/>
        <w:color w:val="666666"/>
        <w:sz w:val="18"/>
        <w:szCs w:val="18"/>
      </w:rPr>
      <w:fldChar w:fldCharType="begin"/>
    </w:r>
    <w:r>
      <w:rPr>
        <w:rFonts w:ascii="Quicksand" w:eastAsia="Quicksand" w:hAnsi="Quicksand" w:cs="Quicksand"/>
        <w:color w:val="666666"/>
        <w:sz w:val="18"/>
        <w:szCs w:val="18"/>
      </w:rPr>
      <w:instrText>PAGE</w:instrText>
    </w:r>
    <w:r>
      <w:rPr>
        <w:rFonts w:ascii="Quicksand" w:eastAsia="Quicksand" w:hAnsi="Quicksand" w:cs="Quicksand"/>
        <w:color w:val="666666"/>
        <w:sz w:val="18"/>
        <w:szCs w:val="18"/>
      </w:rPr>
      <w:fldChar w:fldCharType="separate"/>
    </w:r>
    <w:r w:rsidR="00DC29C6">
      <w:rPr>
        <w:rFonts w:ascii="Quicksand" w:eastAsia="Quicksand" w:hAnsi="Quicksand" w:cs="Quicksand"/>
        <w:noProof/>
        <w:color w:val="666666"/>
        <w:sz w:val="18"/>
        <w:szCs w:val="18"/>
      </w:rPr>
      <w:t>1</w:t>
    </w:r>
    <w:r>
      <w:rPr>
        <w:rFonts w:ascii="Quicksand" w:eastAsia="Quicksand" w:hAnsi="Quicksand" w:cs="Quicksand"/>
        <w:color w:val="666666"/>
        <w:sz w:val="18"/>
        <w:szCs w:val="18"/>
      </w:rPr>
      <w:fldChar w:fldCharType="end"/>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Last updated: 08-02-22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0E21" w14:textId="77777777" w:rsidR="007A761C" w:rsidRDefault="007A761C">
      <w:pPr>
        <w:spacing w:line="240" w:lineRule="auto"/>
      </w:pPr>
      <w:r>
        <w:separator/>
      </w:r>
    </w:p>
  </w:footnote>
  <w:footnote w:type="continuationSeparator" w:id="0">
    <w:p w14:paraId="04F4F67B" w14:textId="77777777" w:rsidR="007A761C" w:rsidRDefault="007A7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D2E5" w14:textId="77777777" w:rsidR="00303E0B" w:rsidRDefault="00303E0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FECD" w14:textId="77777777" w:rsidR="00303E0B" w:rsidRDefault="00303E0B">
    <w:pPr>
      <w:ind w:left="-720" w:right="-690"/>
      <w:rPr>
        <w:color w:val="666666"/>
      </w:rPr>
    </w:pPr>
  </w:p>
  <w:tbl>
    <w:tblPr>
      <w:tblStyle w:val="a0"/>
      <w:tblW w:w="1044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4845"/>
    </w:tblGrid>
    <w:tr w:rsidR="00303E0B" w14:paraId="0446D744" w14:textId="77777777">
      <w:tc>
        <w:tcPr>
          <w:tcW w:w="5595" w:type="dxa"/>
          <w:tcBorders>
            <w:top w:val="nil"/>
            <w:left w:val="nil"/>
            <w:bottom w:val="nil"/>
            <w:right w:val="nil"/>
          </w:tcBorders>
          <w:shd w:val="clear" w:color="auto" w:fill="auto"/>
          <w:tcMar>
            <w:top w:w="100" w:type="dxa"/>
            <w:left w:w="100" w:type="dxa"/>
            <w:bottom w:w="100" w:type="dxa"/>
            <w:right w:w="100" w:type="dxa"/>
          </w:tcMar>
        </w:tcPr>
        <w:p w14:paraId="7290AF79" w14:textId="77777777" w:rsidR="00303E0B" w:rsidRDefault="007A761C">
          <w:pPr>
            <w:ind w:left="90" w:right="-234"/>
            <w:rPr>
              <w:rFonts w:ascii="Quicksand" w:eastAsia="Quicksand" w:hAnsi="Quicksand" w:cs="Quicksand"/>
              <w:color w:val="666666"/>
              <w:sz w:val="18"/>
              <w:szCs w:val="18"/>
            </w:rPr>
          </w:pPr>
          <w:r>
            <w:rPr>
              <w:rFonts w:ascii="Quicksand" w:eastAsia="Quicksand" w:hAnsi="Quicksand" w:cs="Quicksand"/>
              <w:color w:val="666666"/>
              <w:sz w:val="18"/>
              <w:szCs w:val="18"/>
            </w:rPr>
            <w:t xml:space="preserve">Year 6 – Introduction to spreadsheets </w:t>
          </w:r>
        </w:p>
        <w:p w14:paraId="33A8AD38" w14:textId="77777777" w:rsidR="00303E0B" w:rsidRDefault="007A761C">
          <w:pPr>
            <w:ind w:left="90" w:right="-234"/>
            <w:rPr>
              <w:rFonts w:ascii="Quicksand" w:eastAsia="Quicksand" w:hAnsi="Quicksand" w:cs="Quicksand"/>
              <w:color w:val="666666"/>
              <w:sz w:val="18"/>
              <w:szCs w:val="18"/>
            </w:rPr>
          </w:pPr>
          <w:r>
            <w:rPr>
              <w:rFonts w:ascii="Quicksand" w:eastAsia="Quicksand" w:hAnsi="Quicksand" w:cs="Quicksand"/>
              <w:color w:val="666666"/>
              <w:sz w:val="18"/>
              <w:szCs w:val="18"/>
            </w:rPr>
            <w:t>Lesson 1 – Collecting data</w:t>
          </w:r>
        </w:p>
      </w:tc>
      <w:tc>
        <w:tcPr>
          <w:tcW w:w="4845" w:type="dxa"/>
          <w:tcBorders>
            <w:top w:val="nil"/>
            <w:left w:val="nil"/>
            <w:bottom w:val="nil"/>
            <w:right w:val="nil"/>
          </w:tcBorders>
          <w:shd w:val="clear" w:color="auto" w:fill="auto"/>
          <w:tcMar>
            <w:top w:w="100" w:type="dxa"/>
            <w:left w:w="100" w:type="dxa"/>
            <w:bottom w:w="100" w:type="dxa"/>
            <w:right w:w="100" w:type="dxa"/>
          </w:tcMar>
        </w:tcPr>
        <w:p w14:paraId="690A0559" w14:textId="77777777" w:rsidR="00303E0B" w:rsidRDefault="007A761C">
          <w:pPr>
            <w:widowControl w:val="0"/>
            <w:spacing w:line="240" w:lineRule="auto"/>
            <w:ind w:right="150"/>
            <w:jc w:val="right"/>
            <w:rPr>
              <w:rFonts w:ascii="Quicksand" w:eastAsia="Quicksand" w:hAnsi="Quicksand" w:cs="Quicksand"/>
              <w:color w:val="666666"/>
              <w:sz w:val="18"/>
              <w:szCs w:val="18"/>
            </w:rPr>
          </w:pPr>
          <w:r>
            <w:rPr>
              <w:rFonts w:ascii="Quicksand" w:eastAsia="Quicksand" w:hAnsi="Quicksand" w:cs="Quicksand"/>
              <w:color w:val="666666"/>
              <w:sz w:val="18"/>
              <w:szCs w:val="18"/>
            </w:rPr>
            <w:t>Lesson plan</w:t>
          </w:r>
        </w:p>
        <w:p w14:paraId="407C1687" w14:textId="77777777" w:rsidR="00303E0B" w:rsidRDefault="00303E0B">
          <w:pPr>
            <w:widowControl w:val="0"/>
            <w:spacing w:line="240" w:lineRule="auto"/>
            <w:ind w:right="150"/>
            <w:jc w:val="right"/>
            <w:rPr>
              <w:rFonts w:ascii="Quicksand" w:eastAsia="Quicksand" w:hAnsi="Quicksand" w:cs="Quicksand"/>
              <w:color w:val="666666"/>
              <w:sz w:val="18"/>
              <w:szCs w:val="18"/>
            </w:rPr>
          </w:pPr>
        </w:p>
        <w:p w14:paraId="737901CC" w14:textId="77777777" w:rsidR="00303E0B" w:rsidRDefault="00303E0B">
          <w:pPr>
            <w:widowControl w:val="0"/>
            <w:spacing w:line="240" w:lineRule="auto"/>
            <w:ind w:right="150"/>
            <w:jc w:val="right"/>
            <w:rPr>
              <w:rFonts w:ascii="Quicksand" w:eastAsia="Quicksand" w:hAnsi="Quicksand" w:cs="Quicksand"/>
              <w:color w:val="666666"/>
              <w:sz w:val="18"/>
              <w:szCs w:val="18"/>
            </w:rPr>
          </w:pPr>
        </w:p>
      </w:tc>
    </w:tr>
  </w:tbl>
  <w:p w14:paraId="2CBCEB66" w14:textId="77777777" w:rsidR="00303E0B" w:rsidRDefault="00303E0B">
    <w:pPr>
      <w:ind w:left="-720" w:right="-6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645F" w14:textId="77777777" w:rsidR="00303E0B" w:rsidRDefault="00303E0B">
    <w:pPr>
      <w:ind w:left="-720" w:right="-690"/>
      <w:rPr>
        <w:color w:val="666666"/>
      </w:rPr>
    </w:pPr>
  </w:p>
  <w:tbl>
    <w:tblPr>
      <w:tblStyle w:val="a1"/>
      <w:tblW w:w="1044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4845"/>
    </w:tblGrid>
    <w:tr w:rsidR="00303E0B" w14:paraId="265C2366" w14:textId="77777777">
      <w:tc>
        <w:tcPr>
          <w:tcW w:w="5595" w:type="dxa"/>
          <w:tcBorders>
            <w:top w:val="nil"/>
            <w:left w:val="nil"/>
            <w:bottom w:val="nil"/>
            <w:right w:val="nil"/>
          </w:tcBorders>
          <w:shd w:val="clear" w:color="auto" w:fill="auto"/>
          <w:tcMar>
            <w:top w:w="100" w:type="dxa"/>
            <w:left w:w="100" w:type="dxa"/>
            <w:bottom w:w="100" w:type="dxa"/>
            <w:right w:w="100" w:type="dxa"/>
          </w:tcMar>
        </w:tcPr>
        <w:p w14:paraId="34B365EE" w14:textId="77777777" w:rsidR="00303E0B" w:rsidRDefault="007A761C">
          <w:pPr>
            <w:ind w:left="90" w:right="-234"/>
            <w:rPr>
              <w:rFonts w:ascii="Quicksand" w:eastAsia="Quicksand" w:hAnsi="Quicksand" w:cs="Quicksand"/>
              <w:color w:val="666666"/>
              <w:sz w:val="18"/>
              <w:szCs w:val="18"/>
            </w:rPr>
          </w:pPr>
          <w:r>
            <w:rPr>
              <w:rFonts w:ascii="Quicksand" w:eastAsia="Quicksand" w:hAnsi="Quicksand" w:cs="Quicksand"/>
              <w:color w:val="666666"/>
              <w:sz w:val="18"/>
              <w:szCs w:val="18"/>
            </w:rPr>
            <w:t xml:space="preserve">Year 6 – Introduction to spreadsheets </w:t>
          </w:r>
        </w:p>
        <w:p w14:paraId="615A37FF" w14:textId="77777777" w:rsidR="00303E0B" w:rsidRDefault="007A761C">
          <w:pPr>
            <w:ind w:left="90" w:right="-234"/>
            <w:rPr>
              <w:rFonts w:ascii="Quicksand" w:eastAsia="Quicksand" w:hAnsi="Quicksand" w:cs="Quicksand"/>
              <w:color w:val="666666"/>
              <w:sz w:val="18"/>
              <w:szCs w:val="18"/>
            </w:rPr>
          </w:pPr>
          <w:r>
            <w:rPr>
              <w:rFonts w:ascii="Quicksand" w:eastAsia="Quicksand" w:hAnsi="Quicksand" w:cs="Quicksand"/>
              <w:color w:val="666666"/>
              <w:sz w:val="18"/>
              <w:szCs w:val="18"/>
            </w:rPr>
            <w:t>Lesson 1 – Collecting data</w:t>
          </w:r>
        </w:p>
      </w:tc>
      <w:tc>
        <w:tcPr>
          <w:tcW w:w="4845" w:type="dxa"/>
          <w:tcBorders>
            <w:top w:val="nil"/>
            <w:left w:val="nil"/>
            <w:bottom w:val="nil"/>
            <w:right w:val="nil"/>
          </w:tcBorders>
          <w:shd w:val="clear" w:color="auto" w:fill="auto"/>
          <w:tcMar>
            <w:top w:w="100" w:type="dxa"/>
            <w:left w:w="100" w:type="dxa"/>
            <w:bottom w:w="100" w:type="dxa"/>
            <w:right w:w="100" w:type="dxa"/>
          </w:tcMar>
        </w:tcPr>
        <w:p w14:paraId="5D2317FD" w14:textId="77777777" w:rsidR="00303E0B" w:rsidRDefault="007A761C">
          <w:pPr>
            <w:widowControl w:val="0"/>
            <w:spacing w:line="240" w:lineRule="auto"/>
            <w:ind w:right="150"/>
            <w:jc w:val="right"/>
            <w:rPr>
              <w:rFonts w:ascii="Quicksand" w:eastAsia="Quicksand" w:hAnsi="Quicksand" w:cs="Quicksand"/>
              <w:color w:val="666666"/>
              <w:sz w:val="18"/>
              <w:szCs w:val="18"/>
            </w:rPr>
          </w:pPr>
          <w:r>
            <w:rPr>
              <w:rFonts w:ascii="Quicksand" w:eastAsia="Quicksand" w:hAnsi="Quicksand" w:cs="Quicksand"/>
              <w:color w:val="666666"/>
              <w:sz w:val="18"/>
              <w:szCs w:val="18"/>
            </w:rPr>
            <w:t>Lesson plan</w:t>
          </w:r>
        </w:p>
      </w:tc>
    </w:tr>
  </w:tbl>
  <w:p w14:paraId="37C6B568" w14:textId="77777777" w:rsidR="00303E0B" w:rsidRDefault="007A761C">
    <w:pPr>
      <w:ind w:left="-720" w:right="-690"/>
      <w:rPr>
        <w:rFonts w:ascii="Quicksand" w:eastAsia="Quicksand" w:hAnsi="Quicksand" w:cs="Quicksand"/>
        <w:color w:val="666666"/>
        <w:sz w:val="18"/>
        <w:szCs w:val="18"/>
      </w:rPr>
    </w:pPr>
    <w:r>
      <w:rPr>
        <w:noProof/>
      </w:rPr>
      <w:drawing>
        <wp:anchor distT="0" distB="0" distL="114300" distR="114300" simplePos="0" relativeHeight="251658240" behindDoc="0" locked="0" layoutInCell="1" hidden="0" allowOverlap="1" wp14:anchorId="423EDC3B" wp14:editId="0093A5F8">
          <wp:simplePos x="0" y="0"/>
          <wp:positionH relativeFrom="column">
            <wp:posOffset>-323849</wp:posOffset>
          </wp:positionH>
          <wp:positionV relativeFrom="paragraph">
            <wp:posOffset>0</wp:posOffset>
          </wp:positionV>
          <wp:extent cx="1717040" cy="762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14:paraId="5D2A16D8" w14:textId="77777777" w:rsidR="00303E0B" w:rsidRDefault="00303E0B">
    <w:pPr>
      <w:ind w:left="-720" w:right="-690"/>
      <w:rPr>
        <w:rFonts w:ascii="Quicksand" w:eastAsia="Quicksand" w:hAnsi="Quicksand" w:cs="Quicksand"/>
        <w:color w:val="666666"/>
        <w:sz w:val="18"/>
        <w:szCs w:val="18"/>
      </w:rPr>
    </w:pPr>
  </w:p>
  <w:p w14:paraId="32BB41EC" w14:textId="6B54C511" w:rsidR="00303E0B" w:rsidRDefault="00303E0B">
    <w:pPr>
      <w:ind w:left="-720" w:right="-690"/>
      <w:rPr>
        <w:rFonts w:ascii="Quicksand" w:eastAsia="Quicksand" w:hAnsi="Quicksand" w:cs="Quicksand"/>
        <w:color w:val="666666"/>
        <w:sz w:val="18"/>
        <w:szCs w:val="18"/>
      </w:rPr>
    </w:pPr>
  </w:p>
  <w:p w14:paraId="2E190AB9" w14:textId="77777777" w:rsidR="00DC29C6" w:rsidRDefault="00DC29C6">
    <w:pPr>
      <w:ind w:left="-720" w:right="-690"/>
      <w:rPr>
        <w:rFonts w:ascii="Quicksand" w:eastAsia="Quicksand" w:hAnsi="Quicksand" w:cs="Quicksand"/>
        <w:color w:val="666666"/>
        <w:sz w:val="18"/>
        <w:szCs w:val="18"/>
      </w:rPr>
    </w:pPr>
  </w:p>
  <w:p w14:paraId="54DCD253" w14:textId="77777777" w:rsidR="00303E0B" w:rsidRDefault="00303E0B">
    <w:pPr>
      <w:ind w:left="-720" w:right="-690"/>
      <w:rPr>
        <w:rFonts w:ascii="Quicksand" w:eastAsia="Quicksand" w:hAnsi="Quicksand" w:cs="Quicksand"/>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17B0"/>
    <w:multiLevelType w:val="multilevel"/>
    <w:tmpl w:val="BE0694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64466F"/>
    <w:multiLevelType w:val="multilevel"/>
    <w:tmpl w:val="8DB291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0B"/>
    <w:rsid w:val="00303E0B"/>
    <w:rsid w:val="007A761C"/>
    <w:rsid w:val="00DC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841F0"/>
  <w15:docId w15:val="{891D490B-F4E1-F34E-B0B9-FA5E0782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Quicksand" w:eastAsia="Quicksand" w:hAnsi="Quicksand" w:cs="Quicksand"/>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rFonts w:ascii="Quicksand" w:eastAsia="Quicksand" w:hAnsi="Quicksand" w:cs="Quicksand"/>
      <w:sz w:val="32"/>
      <w:szCs w:val="32"/>
    </w:rPr>
  </w:style>
  <w:style w:type="paragraph" w:styleId="Heading3">
    <w:name w:val="heading 3"/>
    <w:basedOn w:val="Normal"/>
    <w:next w:val="Normal"/>
    <w:uiPriority w:val="9"/>
    <w:unhideWhenUsed/>
    <w:qFormat/>
    <w:pPr>
      <w:keepNext/>
      <w:keepLines/>
      <w:spacing w:line="240" w:lineRule="auto"/>
      <w:outlineLvl w:val="2"/>
    </w:pPr>
    <w:rPr>
      <w:rFonts w:ascii="Quicksand" w:eastAsia="Quicksand" w:hAnsi="Quicksand" w:cs="Quicksand"/>
      <w:b/>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DC29C6"/>
    <w:pPr>
      <w:tabs>
        <w:tab w:val="center" w:pos="4680"/>
        <w:tab w:val="right" w:pos="9360"/>
      </w:tabs>
      <w:spacing w:line="240" w:lineRule="auto"/>
    </w:pPr>
  </w:style>
  <w:style w:type="character" w:customStyle="1" w:styleId="FooterChar">
    <w:name w:val="Footer Char"/>
    <w:basedOn w:val="DefaultParagraphFont"/>
    <w:link w:val="Footer"/>
    <w:uiPriority w:val="99"/>
    <w:rsid w:val="00DC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cce.io/og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cce.io/tc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2022-02-08T11:34:00Z</dcterms:created>
  <dcterms:modified xsi:type="dcterms:W3CDTF">2022-02-08T11:36:00Z</dcterms:modified>
</cp:coreProperties>
</file>