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020"/>
        </w:tabs>
        <w:jc w:val="center"/>
        <w:rPr>
          <w:rFonts w:ascii="Delius" w:cs="Delius" w:eastAsia="Delius" w:hAnsi="Delius"/>
          <w:b w:val="1"/>
        </w:rPr>
      </w:pPr>
      <w:r w:rsidDel="00000000" w:rsidR="00000000" w:rsidRPr="00000000">
        <w:rPr>
          <w:rFonts w:ascii="Delius" w:cs="Delius" w:eastAsia="Delius" w:hAnsi="Delius"/>
          <w:b w:val="1"/>
          <w:rtl w:val="0"/>
        </w:rPr>
        <w:t xml:space="preserve">Wyburns Primary School </w:t>
      </w:r>
      <w:r w:rsidDel="00000000" w:rsidR="00000000" w:rsidRPr="00000000">
        <w:drawing>
          <wp:anchor allowOverlap="1" behindDoc="1" distB="0" distT="0" distL="0" distR="0" hidden="0" layoutInCell="1" locked="0" relativeHeight="0" simplePos="0">
            <wp:simplePos x="0" y="0"/>
            <wp:positionH relativeFrom="column">
              <wp:posOffset>7439025</wp:posOffset>
            </wp:positionH>
            <wp:positionV relativeFrom="paragraph">
              <wp:posOffset>0</wp:posOffset>
            </wp:positionV>
            <wp:extent cx="1173347" cy="1135296"/>
            <wp:effectExtent b="0" l="0" r="0" t="0"/>
            <wp:wrapNone/>
            <wp:docPr id="6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73347" cy="1135296"/>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-476249</wp:posOffset>
            </wp:positionH>
            <wp:positionV relativeFrom="paragraph">
              <wp:posOffset>46736</wp:posOffset>
            </wp:positionV>
            <wp:extent cx="1173347" cy="1135296"/>
            <wp:effectExtent b="0" l="0" r="0" t="0"/>
            <wp:wrapNone/>
            <wp:docPr id="6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73347" cy="1135296"/>
                    </a:xfrm>
                    <a:prstGeom prst="rect"/>
                    <a:ln/>
                  </pic:spPr>
                </pic:pic>
              </a:graphicData>
            </a:graphic>
          </wp:anchor>
        </w:drawing>
      </w:r>
    </w:p>
    <w:p w:rsidR="00000000" w:rsidDel="00000000" w:rsidP="00000000" w:rsidRDefault="00000000" w:rsidRPr="00000000" w14:paraId="00000002">
      <w:pPr>
        <w:tabs>
          <w:tab w:val="left" w:leader="none" w:pos="1020"/>
        </w:tabs>
        <w:jc w:val="center"/>
        <w:rPr>
          <w:rFonts w:ascii="Delius" w:cs="Delius" w:eastAsia="Delius" w:hAnsi="Delius"/>
          <w:b w:val="1"/>
        </w:rPr>
      </w:pPr>
      <w:r w:rsidDel="00000000" w:rsidR="00000000" w:rsidRPr="00000000">
        <w:rPr>
          <w:rFonts w:ascii="Delius" w:cs="Delius" w:eastAsia="Delius" w:hAnsi="Delius"/>
          <w:b w:val="1"/>
          <w:rtl w:val="0"/>
        </w:rPr>
        <w:t xml:space="preserve">Reviewed October 2025</w:t>
      </w:r>
    </w:p>
    <w:p w:rsidR="00000000" w:rsidDel="00000000" w:rsidP="00000000" w:rsidRDefault="00000000" w:rsidRPr="00000000" w14:paraId="00000003">
      <w:pPr>
        <w:tabs>
          <w:tab w:val="left" w:leader="none" w:pos="1020"/>
        </w:tabs>
        <w:jc w:val="center"/>
        <w:rPr>
          <w:rFonts w:ascii="Delius" w:cs="Delius" w:eastAsia="Delius" w:hAnsi="Delius"/>
          <w:b w:val="1"/>
        </w:rPr>
      </w:pPr>
      <w:r w:rsidDel="00000000" w:rsidR="00000000" w:rsidRPr="00000000">
        <w:rPr>
          <w:rFonts w:ascii="Delius" w:cs="Delius" w:eastAsia="Delius" w:hAnsi="Delius"/>
          <w:b w:val="1"/>
          <w:rtl w:val="0"/>
        </w:rPr>
        <w:t xml:space="preserve">School Absence / Lateness Flowchart: </w:t>
        <w:br w:type="textWrapping"/>
        <w:t xml:space="preserve">Procedures for Attendance Officer</w:t>
      </w:r>
    </w:p>
    <w:p w:rsidR="00000000" w:rsidDel="00000000" w:rsidP="00000000" w:rsidRDefault="00000000" w:rsidRPr="00000000" w14:paraId="00000004">
      <w:pPr>
        <w:rPr>
          <w:rFonts w:ascii="Delius" w:cs="Delius" w:eastAsia="Delius" w:hAnsi="Delius"/>
          <w:b w:val="1"/>
        </w:rPr>
      </w:pPr>
      <w:r w:rsidDel="00000000" w:rsidR="00000000" w:rsidRPr="00000000">
        <w:rPr>
          <w:rFonts w:ascii="Delius" w:cs="Delius" w:eastAsia="Delius" w:hAnsi="Delius"/>
          <w:b w:val="1"/>
          <w:rtl w:val="0"/>
        </w:rPr>
        <w:t xml:space="preserve">This is for day-to-day use to track absence and lateness. It assumes daily monitoring of registers, first-day and ongoing absence follow-up, escalating steps if attendance becomes at-risk, persistent or severe absence, and links to early help/TAF where needed. </w:t>
      </w:r>
    </w:p>
    <w:p w:rsidR="00000000" w:rsidDel="00000000" w:rsidP="00000000" w:rsidRDefault="00000000" w:rsidRPr="00000000" w14:paraId="00000005">
      <w:pPr>
        <w:rPr>
          <w:rFonts w:ascii="Montserrat" w:cs="Montserrat" w:eastAsia="Montserrat" w:hAnsi="Montserrat"/>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-367368</wp:posOffset>
                </wp:positionH>
                <wp:positionV relativeFrom="paragraph">
                  <wp:posOffset>78861</wp:posOffset>
                </wp:positionV>
                <wp:extent cx="4324350" cy="6025578"/>
                <wp:effectExtent b="0" l="0" r="0" t="0"/>
                <wp:wrapNone/>
                <wp:docPr id="60" name=""/>
                <a:graphic>
                  <a:graphicData uri="http://schemas.microsoft.com/office/word/2010/wordprocessingShape">
                    <wps:wsp>
                      <wps:cNvSpPr/>
                      <wps:cNvPr id="6" name="Shape 6"/>
                      <wps:spPr>
                        <a:xfrm>
                          <a:off x="3188588" y="926442"/>
                          <a:ext cx="4314825" cy="5707117"/>
                        </a:xfrm>
                        <a:prstGeom prst="rect">
                          <a:avLst/>
                        </a:prstGeom>
                        <a:gradFill>
                          <a:gsLst>
                            <a:gs pos="0">
                              <a:srgbClr val="D4E5F5"/>
                            </a:gs>
                            <a:gs pos="100000">
                              <a:srgbClr val="70A4D5"/>
                            </a:gs>
                          </a:gsLst>
                          <a:lin ang="5400012" scaled="0"/>
                        </a:grad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t xml:space="preserve">Step 1: Morning Register &amp; First-Day Contact</w:t>
                            </w:r>
                            <w:r w:rsidDel="00000000" w:rsidR="00000000" w:rsidRPr="00000000">
                              <w:rPr>
                                <w:rFonts w:ascii="Delius" w:cs="Delius" w:eastAsia="Delius" w:hAnsi="Delius"/>
                                <w:b w:val="1"/>
                                <w:i w:val="0"/>
                                <w:smallCaps w:val="0"/>
                                <w:strike w:val="0"/>
                                <w:color w:val="000000"/>
                                <w:sz w:val="24"/>
                                <w:u w:val="single"/>
                                <w:vertAlign w:val="baseline"/>
                              </w:rPr>
                              <w:t xml:space="preserve">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1"/>
                                <w:i w:val="0"/>
                                <w:smallCaps w:val="0"/>
                                <w:strike w:val="0"/>
                                <w:color w:val="000000"/>
                                <w:sz w:val="24"/>
                                <w:u w:val="single"/>
                                <w:vertAlign w:val="baseline"/>
                              </w:rPr>
                            </w:r>
                            <w:r w:rsidDel="00000000" w:rsidR="00000000" w:rsidRPr="00000000">
                              <w:rPr>
                                <w:rFonts w:ascii="Delius" w:cs="Delius" w:eastAsia="Delius" w:hAnsi="Delius"/>
                                <w:b w:val="0"/>
                                <w:i w:val="0"/>
                                <w:smallCaps w:val="0"/>
                                <w:strike w:val="0"/>
                                <w:color w:val="000000"/>
                                <w:sz w:val="24"/>
                                <w:vertAlign w:val="baseline"/>
                              </w:rPr>
                              <w:t xml:space="preserve">Register taken by class teacher/lead adult at the start of the morning and afternoon sessions. Attendance officer checks for any absences (or children who are not in by register close time).</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If a child is absent and no contact from parent/carer:</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8"/>
                                <w:vertAlign w:val="baseline"/>
                              </w:rPr>
                              <w:t xml:space="preserve">Action: Attendance officer makes first-day absence call to parent/carer by </w:t>
                            </w:r>
                            <w:r w:rsidDel="00000000" w:rsidR="00000000" w:rsidRPr="00000000">
                              <w:rPr>
                                <w:rFonts w:ascii="Delius" w:cs="Delius" w:eastAsia="Delius" w:hAnsi="Delius"/>
                                <w:b w:val="0"/>
                                <w:i w:val="0"/>
                                <w:smallCaps w:val="0"/>
                                <w:strike w:val="0"/>
                                <w:color w:val="000000"/>
                                <w:sz w:val="28"/>
                                <w:highlight w:val="yellow"/>
                                <w:vertAlign w:val="baseline"/>
                              </w:rPr>
                              <w:t xml:space="preserve">9:30am</w:t>
                            </w:r>
                            <w:r w:rsidDel="00000000" w:rsidR="00000000" w:rsidRPr="00000000">
                              <w:rPr>
                                <w:rFonts w:ascii="Delius" w:cs="Delius" w:eastAsia="Delius" w:hAnsi="Delius"/>
                                <w:b w:val="0"/>
                                <w:i w:val="0"/>
                                <w:smallCaps w:val="0"/>
                                <w:strike w:val="0"/>
                                <w:color w:val="000000"/>
                                <w:sz w:val="28"/>
                                <w:vertAlign w:val="baseline"/>
                              </w:rPr>
                              <w:t xml:space="preserve">, and every subsequent day of absence, asking reason for absence.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Record the reason given for absence and any follow-up needed. Mark the register accordingly using correct code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4"/>
                                <w:vertAlign w:val="baseline"/>
                              </w:rPr>
                              <w:t xml:space="preserve">If parent/carer contacts before call: note reason, classify absence as authorised/unauthorised as per policy and codes, update register.</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If school are unable to make contact with parents by telephone, they will telephone emergency contact numbers and a home visit may be made, in the interests of safeguarding.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-367368</wp:posOffset>
                </wp:positionH>
                <wp:positionV relativeFrom="paragraph">
                  <wp:posOffset>78861</wp:posOffset>
                </wp:positionV>
                <wp:extent cx="4324350" cy="6025578"/>
                <wp:effectExtent b="0" l="0" r="0" t="0"/>
                <wp:wrapNone/>
                <wp:docPr id="60"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4324350" cy="602557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4543743</wp:posOffset>
                </wp:positionH>
                <wp:positionV relativeFrom="paragraph">
                  <wp:posOffset>94298</wp:posOffset>
                </wp:positionV>
                <wp:extent cx="4324350" cy="5664423"/>
                <wp:effectExtent b="0" l="0" r="0" t="0"/>
                <wp:wrapNone/>
                <wp:docPr id="57" name=""/>
                <a:graphic>
                  <a:graphicData uri="http://schemas.microsoft.com/office/word/2010/wordprocessingShape">
                    <wps:wsp>
                      <wps:cNvSpPr/>
                      <wps:cNvPr id="3" name="Shape 3"/>
                      <wps:spPr>
                        <a:xfrm>
                          <a:off x="3188588" y="950090"/>
                          <a:ext cx="4314825" cy="5659821"/>
                        </a:xfrm>
                        <a:prstGeom prst="rect">
                          <a:avLst/>
                        </a:prstGeom>
                        <a:gradFill>
                          <a:gsLst>
                            <a:gs pos="0">
                              <a:srgbClr val="D4E5F5"/>
                            </a:gs>
                            <a:gs pos="100000">
                              <a:srgbClr val="70A4D5"/>
                            </a:gs>
                          </a:gsLst>
                          <a:lin ang="5400012" scaled="0"/>
                        </a:grad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t xml:space="preserve">Step 3: Formal attendance letter and TAF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If child’s attendance falls below 95% and/or where punctuality is a concern:</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Action: phone call by attendance officer to arrange TAF meeting with DSL and attendance officer.</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In TAF meeting, a personalised action/support plan will be created, such as an attendance contract, to address any barriers to attendance and make clear each person’s role in improving the attendance patterns of your child. DSL will offer signposting support to other agencies or services, if appropriate too. A formal attendance letter will be issued at part of the TAF meeting.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1"/>
                                <w:i w:val="0"/>
                                <w:smallCaps w:val="0"/>
                                <w:strike w:val="0"/>
                                <w:color w:val="000000"/>
                                <w:sz w:val="24"/>
                                <w:highlight w:val="yellow"/>
                                <w:vertAlign w:val="baseline"/>
                              </w:rPr>
                              <w:t xml:space="preserve">Missing In Education</w:t>
                            </w:r>
                            <w:r w:rsidDel="00000000" w:rsidR="00000000" w:rsidRPr="00000000">
                              <w:rPr>
                                <w:rFonts w:ascii="Delius" w:cs="Delius" w:eastAsia="Delius" w:hAnsi="Delius"/>
                                <w:b w:val="1"/>
                                <w:i w:val="0"/>
                                <w:smallCaps w:val="0"/>
                                <w:strike w:val="0"/>
                                <w:color w:val="000000"/>
                                <w:sz w:val="24"/>
                                <w:vertAlign w:val="baseline"/>
                              </w:rPr>
                              <w:t xml:space="preserve">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 referral will be made to Local Authority if no contact has been made with parents by the 10th day of absence (or sooner if deemed appropriate), at which point your child will be considered to be “missing from education.”</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4543743</wp:posOffset>
                </wp:positionH>
                <wp:positionV relativeFrom="paragraph">
                  <wp:posOffset>94298</wp:posOffset>
                </wp:positionV>
                <wp:extent cx="4324350" cy="5664423"/>
                <wp:effectExtent b="0" l="0" r="0" t="0"/>
                <wp:wrapNone/>
                <wp:docPr id="5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4324350" cy="5664423"/>
                        </a:xfrm>
                        <a:prstGeom prst="rect"/>
                        <a:ln/>
                      </pic:spPr>
                    </pic:pic>
                  </a:graphicData>
                </a:graphic>
              </wp:anchor>
            </w:drawing>
          </mc:Fallback>
        </mc:AlternateContent>
      </w:r>
    </w:p>
    <w:p w:rsidR="00000000" w:rsidDel="00000000" w:rsidP="00000000" w:rsidRDefault="00000000" w:rsidRPr="00000000" w14:paraId="00000006">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7">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8">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9">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A">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B">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C">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D">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E">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F">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0">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1">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2">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3">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5">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6">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7">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8">
      <w:pPr>
        <w:rPr>
          <w:rFonts w:ascii="Montserrat" w:cs="Montserrat" w:eastAsia="Montserrat" w:hAnsi="Montserrat"/>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4515168</wp:posOffset>
                </wp:positionH>
                <wp:positionV relativeFrom="paragraph">
                  <wp:posOffset>124647</wp:posOffset>
                </wp:positionV>
                <wp:extent cx="4324350" cy="4666496"/>
                <wp:effectExtent b="0" l="0" r="0" t="0"/>
                <wp:wrapNone/>
                <wp:docPr id="58" name=""/>
                <a:graphic>
                  <a:graphicData uri="http://schemas.microsoft.com/office/word/2010/wordprocessingShape">
                    <wps:wsp>
                      <wps:cNvSpPr/>
                      <wps:cNvPr id="4" name="Shape 4"/>
                      <wps:spPr>
                        <a:xfrm>
                          <a:off x="3188588" y="1541297"/>
                          <a:ext cx="4314825" cy="4477407"/>
                        </a:xfrm>
                        <a:prstGeom prst="rect">
                          <a:avLst/>
                        </a:prstGeom>
                        <a:gradFill>
                          <a:gsLst>
                            <a:gs pos="0">
                              <a:srgbClr val="D4E5F5"/>
                            </a:gs>
                            <a:gs pos="100000">
                              <a:srgbClr val="70A4D5"/>
                            </a:gs>
                          </a:gsLst>
                          <a:lin ang="5400012" scaled="0"/>
                        </a:grad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t xml:space="preserve">Step 4: Monitoring &amp; Review of Improvement Plan</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u w:val="single"/>
                                <w:vertAlign w:val="baseline"/>
                              </w:rPr>
                            </w:r>
                            <w:r w:rsidDel="00000000" w:rsidR="00000000" w:rsidRPr="00000000">
                              <w:rPr>
                                <w:rFonts w:ascii="Delius" w:cs="Delius" w:eastAsia="Delius" w:hAnsi="Delius"/>
                                <w:b w:val="0"/>
                                <w:i w:val="0"/>
                                <w:smallCaps w:val="0"/>
                                <w:strike w:val="0"/>
                                <w:color w:val="000000"/>
                                <w:sz w:val="24"/>
                                <w:vertAlign w:val="baseline"/>
                              </w:rPr>
                              <w:t xml:space="preserve">After the TAF meeting and letter, Attendance officer monitors the agreed review period.</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At review date: Check attendance for the child.</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8"/>
                                <w:vertAlign w:val="baseline"/>
                              </w:rPr>
                              <w:t xml:space="preserve">If attendance/lateness has improved to acceptable level (e.g., ≥95%) → Send letter of acknowledgement and continue standard monitoring.</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If attendance remains low or further decline → escalate: issue formal Letter (Warning of Legal Intervention) plus refer to DSL for legal intervention discussions and/or issue of attendance contract.</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4"/>
                                <w:vertAlign w:val="baseline"/>
                              </w:rPr>
                              <w:t xml:space="preserve">Consider further support: TAF review or other multi-agency meeting, consider whether the case meets criteria for persistent absence (PA) or severe absence (SA) under the guidance.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4515168</wp:posOffset>
                </wp:positionH>
                <wp:positionV relativeFrom="paragraph">
                  <wp:posOffset>124647</wp:posOffset>
                </wp:positionV>
                <wp:extent cx="4324350" cy="4666496"/>
                <wp:effectExtent b="0" l="0" r="0" t="0"/>
                <wp:wrapNone/>
                <wp:docPr id="5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4324350" cy="466649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-367368</wp:posOffset>
                </wp:positionH>
                <wp:positionV relativeFrom="paragraph">
                  <wp:posOffset>154271</wp:posOffset>
                </wp:positionV>
                <wp:extent cx="4324350" cy="4485919"/>
                <wp:effectExtent b="0" l="0" r="0" t="0"/>
                <wp:wrapNone/>
                <wp:docPr id="56" name=""/>
                <a:graphic>
                  <a:graphicData uri="http://schemas.microsoft.com/office/word/2010/wordprocessingShape">
                    <wps:wsp>
                      <wps:cNvSpPr/>
                      <wps:cNvPr id="2" name="Shape 2"/>
                      <wps:spPr>
                        <a:xfrm>
                          <a:off x="3188588" y="1541297"/>
                          <a:ext cx="4314825" cy="4477407"/>
                        </a:xfrm>
                        <a:prstGeom prst="rect">
                          <a:avLst/>
                        </a:prstGeom>
                        <a:gradFill>
                          <a:gsLst>
                            <a:gs pos="0">
                              <a:srgbClr val="D4E5F5"/>
                            </a:gs>
                            <a:gs pos="100000">
                              <a:srgbClr val="70A4D5"/>
                            </a:gs>
                          </a:gsLst>
                          <a:lin ang="5400012" scaled="0"/>
                        </a:grad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t xml:space="preserve">Step 2: Absence Continues / Patterns Emerging</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If child remains absent beyond one day (or consecutive days) or there is no contact:</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Action: phone call by attendance officer to family to clarify expectations, review policy, and discuss barriers.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Document: Record conversation via pastoral log on Arbor, agree next steps and monitoring period (e.g., two weeks).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8"/>
                                <w:vertAlign w:val="baseline"/>
                              </w:rPr>
                              <w:t xml:space="preserve">Attendance officer / DSL reviews reason.</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If reason indicates health/other barrier: record it and where appropriate liaise with SENDCo.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4"/>
                                <w:vertAlign w:val="baseline"/>
                              </w:rPr>
                              <w:t xml:space="preserve">If lateness: child arrives late after register close → mark with correct late/absent code (L)</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-367368</wp:posOffset>
                </wp:positionH>
                <wp:positionV relativeFrom="paragraph">
                  <wp:posOffset>154271</wp:posOffset>
                </wp:positionV>
                <wp:extent cx="4324350" cy="4485919"/>
                <wp:effectExtent b="0" l="0" r="0" t="0"/>
                <wp:wrapNone/>
                <wp:docPr id="5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324350" cy="4485919"/>
                        </a:xfrm>
                        <a:prstGeom prst="rect"/>
                        <a:ln/>
                      </pic:spPr>
                    </pic:pic>
                  </a:graphicData>
                </a:graphic>
              </wp:anchor>
            </w:drawing>
          </mc:Fallback>
        </mc:AlternateContent>
      </w:r>
    </w:p>
    <w:p w:rsidR="00000000" w:rsidDel="00000000" w:rsidP="00000000" w:rsidRDefault="00000000" w:rsidRPr="00000000" w14:paraId="00000019">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A">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B">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C">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D">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E">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F">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0">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1">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2">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3">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4">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5">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6">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7">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8">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left"/>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A">
      <w:pPr>
        <w:rPr>
          <w:rFonts w:ascii="Montserrat" w:cs="Montserrat" w:eastAsia="Montserrat" w:hAnsi="Montserrat"/>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-257009</wp:posOffset>
                </wp:positionH>
                <wp:positionV relativeFrom="paragraph">
                  <wp:posOffset>-36293</wp:posOffset>
                </wp:positionV>
                <wp:extent cx="9239250" cy="5385598"/>
                <wp:effectExtent b="0" l="0" r="0" t="0"/>
                <wp:wrapNone/>
                <wp:docPr id="59" name=""/>
                <a:graphic>
                  <a:graphicData uri="http://schemas.microsoft.com/office/word/2010/wordprocessingShape">
                    <wps:wsp>
                      <wps:cNvSpPr/>
                      <wps:cNvPr id="5" name="Shape 5"/>
                      <wps:spPr>
                        <a:xfrm>
                          <a:off x="731138" y="1091980"/>
                          <a:ext cx="9229725" cy="5376041"/>
                        </a:xfrm>
                        <a:prstGeom prst="rect">
                          <a:avLst/>
                        </a:prstGeom>
                        <a:gradFill>
                          <a:gsLst>
                            <a:gs pos="0">
                              <a:srgbClr val="D4E5F5"/>
                            </a:gs>
                            <a:gs pos="100000">
                              <a:srgbClr val="70A4D5"/>
                            </a:gs>
                          </a:gsLst>
                          <a:lin ang="5400012" scaled="0"/>
                        </a:grad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t xml:space="preserve">Step 5: Persistent or Severe Absence / Legal Intervention</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r>
                            <w:r w:rsidDel="00000000" w:rsidR="00000000" w:rsidRPr="00000000">
                              <w:rPr>
                                <w:rFonts w:ascii="Delius" w:cs="Delius" w:eastAsia="Delius" w:hAnsi="Delius"/>
                                <w:b w:val="1"/>
                                <w:i w:val="0"/>
                                <w:smallCaps w:val="0"/>
                                <w:strike w:val="0"/>
                                <w:color w:val="000000"/>
                                <w:sz w:val="24"/>
                                <w:highlight w:val="yellow"/>
                                <w:vertAlign w:val="baseline"/>
                              </w:rPr>
                              <w:t xml:space="preserve">National Framework for Penalty Notices</w:t>
                            </w:r>
                            <w:r w:rsidDel="00000000" w:rsidR="00000000" w:rsidRPr="00000000">
                              <w:rPr>
                                <w:rFonts w:ascii="Delius" w:cs="Delius" w:eastAsia="Delius" w:hAnsi="Delius"/>
                                <w:b w:val="1"/>
                                <w:i w:val="0"/>
                                <w:smallCaps w:val="0"/>
                                <w:strike w:val="0"/>
                                <w:color w:val="000000"/>
                                <w:sz w:val="24"/>
                                <w:vertAlign w:val="baseline"/>
                              </w:rPr>
                              <w:t xml:space="preserve">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There is now a single consistent national threshold for when a penalty notice </w:t>
                            </w:r>
                            <w:r w:rsidDel="00000000" w:rsidR="00000000" w:rsidRPr="00000000">
                              <w:rPr>
                                <w:rFonts w:ascii="Delius" w:cs="Delius" w:eastAsia="Delius" w:hAnsi="Delius"/>
                                <w:b w:val="1"/>
                                <w:i w:val="0"/>
                                <w:smallCaps w:val="0"/>
                                <w:strike w:val="0"/>
                                <w:color w:val="000000"/>
                                <w:sz w:val="24"/>
                                <w:vertAlign w:val="baseline"/>
                              </w:rPr>
                              <w:t xml:space="preserve">must</w:t>
                            </w:r>
                            <w:r w:rsidDel="00000000" w:rsidR="00000000" w:rsidRPr="00000000">
                              <w:rPr>
                                <w:rFonts w:ascii="Delius" w:cs="Delius" w:eastAsia="Delius" w:hAnsi="Delius"/>
                                <w:b w:val="0"/>
                                <w:i w:val="0"/>
                                <w:smallCaps w:val="0"/>
                                <w:strike w:val="0"/>
                                <w:color w:val="000000"/>
                                <w:sz w:val="24"/>
                                <w:vertAlign w:val="baseline"/>
                              </w:rPr>
                              <w:t xml:space="preserve">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 school week period can span different terms, school years or education settings.</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1"/>
                                <w:i w:val="0"/>
                                <w:smallCaps w:val="0"/>
                                <w:strike w:val="0"/>
                                <w:color w:val="000000"/>
                                <w:sz w:val="24"/>
                                <w:highlight w:val="yellow"/>
                                <w:vertAlign w:val="baseline"/>
                              </w:rPr>
                              <w:t xml:space="preserve">Thresholds for referral to LA (legal action):</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1"/>
                                <w:i w:val="0"/>
                                <w:smallCaps w:val="0"/>
                                <w:strike w:val="0"/>
                                <w:color w:val="000000"/>
                                <w:sz w:val="24"/>
                                <w:highlight w:val="yellow"/>
                                <w:vertAlign w:val="baseline"/>
                              </w:rPr>
                            </w:r>
                            <w:r w:rsidDel="00000000" w:rsidR="00000000" w:rsidRPr="00000000">
                              <w:rPr>
                                <w:rFonts w:ascii="Delius" w:cs="Delius" w:eastAsia="Delius" w:hAnsi="Delius"/>
                                <w:b w:val="0"/>
                                <w:i w:val="0"/>
                                <w:smallCaps w:val="0"/>
                                <w:strike w:val="0"/>
                                <w:color w:val="000000"/>
                                <w:sz w:val="28"/>
                                <w:vertAlign w:val="baseline"/>
                              </w:rPr>
                              <w:t xml:space="preserve">Persistent absence (PA): missing 10% or more of sessions (authorised + unauthorised).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Severe absence (SA): missing 50% or more of sessions.  </w:t>
                            </w:r>
                          </w:p>
                          <w:p w:rsidR="00000000" w:rsidDel="00000000" w:rsidP="00000000" w:rsidRDefault="00000000" w:rsidRPr="00000000">
                            <w:pPr>
                              <w:spacing w:after="160" w:before="0" w:line="277.99999237060547"/>
                              <w:ind w:left="36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4"/>
                                <w:vertAlign w:val="baseline"/>
                              </w:rPr>
                              <w:t xml:space="preserve">For these cases, school + LA + partners must work together, consider an attendance contract, issue warning of legal action, refer to LA for action (penalty notice, prosecution, Education Supervision Order).  </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Action: Attendance officer with DSL initiates legal intervention pathway:</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8"/>
                                <w:vertAlign w:val="baseline"/>
                              </w:rPr>
                              <w:t xml:space="preserve">Issue attendance contract (if appropriate).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Liaise with LA attendance support team to issue Penalty Notice if unauthorised absence threshold met (10 sessions in rolling 10 weeks) and no improvement.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Convene full TAF/early help or specialist support as needed (SEND, medical, safeguarding).</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Monitor closely, convene meetings every 4-6 weeks.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Delius" w:cs="Delius" w:eastAsia="Delius" w:hAnsi="Delius"/>
                                <w:b w:val="0"/>
                                <w:i w:val="0"/>
                                <w:smallCaps w:val="0"/>
                                <w:strike w:val="0"/>
                                <w:color w:val="000000"/>
                                <w:sz w:val="28"/>
                                <w:vertAlign w:val="baseline"/>
                              </w:rPr>
                            </w:r>
                            <w:r w:rsidDel="00000000" w:rsidR="00000000" w:rsidRPr="00000000">
                              <w:rPr>
                                <w:rFonts w:ascii="Delius" w:cs="Delius" w:eastAsia="Delius" w:hAnsi="Delius"/>
                                <w:b w:val="0"/>
                                <w:i w:val="0"/>
                                <w:smallCaps w:val="0"/>
                                <w:strike w:val="0"/>
                                <w:color w:val="000000"/>
                                <w:sz w:val="28"/>
                                <w:vertAlign w:val="baseline"/>
                              </w:rPr>
                              <w:t xml:space="preserve">Document all steps and liaise with governors/trust board as required.</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8"/>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-257009</wp:posOffset>
                </wp:positionH>
                <wp:positionV relativeFrom="paragraph">
                  <wp:posOffset>-36293</wp:posOffset>
                </wp:positionV>
                <wp:extent cx="9239250" cy="5385598"/>
                <wp:effectExtent b="0" l="0" r="0" t="0"/>
                <wp:wrapNone/>
                <wp:docPr id="59"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9239250" cy="5385598"/>
                        </a:xfrm>
                        <a:prstGeom prst="rect"/>
                        <a:ln/>
                      </pic:spPr>
                    </pic:pic>
                  </a:graphicData>
                </a:graphic>
              </wp:anchor>
            </w:drawing>
          </mc:Fallback>
        </mc:AlternateContent>
      </w:r>
    </w:p>
    <w:p w:rsidR="00000000" w:rsidDel="00000000" w:rsidP="00000000" w:rsidRDefault="00000000" w:rsidRPr="00000000" w14:paraId="0000002B">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C">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D">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E">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2F">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0">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1">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2">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3">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4">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5">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3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37">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38">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39">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3A">
      <w:pPr>
        <w:rPr>
          <w:rFonts w:ascii="Montserrat" w:cs="Montserrat" w:eastAsia="Montserrat" w:hAnsi="Montserrat"/>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-272775</wp:posOffset>
                </wp:positionH>
                <wp:positionV relativeFrom="paragraph">
                  <wp:posOffset>665315</wp:posOffset>
                </wp:positionV>
                <wp:extent cx="9286875" cy="2274143"/>
                <wp:effectExtent b="0" l="0" r="0" t="0"/>
                <wp:wrapNone/>
                <wp:docPr id="61" name=""/>
                <a:graphic>
                  <a:graphicData uri="http://schemas.microsoft.com/office/word/2010/wordprocessingShape">
                    <wps:wsp>
                      <wps:cNvSpPr/>
                      <wps:cNvPr id="7" name="Shape 7"/>
                      <wps:spPr>
                        <a:xfrm>
                          <a:off x="707325" y="2810421"/>
                          <a:ext cx="9277350" cy="1939159"/>
                        </a:xfrm>
                        <a:prstGeom prst="rect">
                          <a:avLst/>
                        </a:prstGeom>
                        <a:gradFill>
                          <a:gsLst>
                            <a:gs pos="0">
                              <a:srgbClr val="D4E5F5"/>
                            </a:gs>
                            <a:gs pos="100000">
                              <a:srgbClr val="70A4D5"/>
                            </a:gs>
                          </a:gsLst>
                          <a:lin ang="5400012" scaled="0"/>
                        </a:grad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1"/>
                                <w:i w:val="0"/>
                                <w:smallCaps w:val="0"/>
                                <w:strike w:val="0"/>
                                <w:color w:val="000000"/>
                                <w:sz w:val="24"/>
                                <w:vertAlign w:val="baseline"/>
                              </w:rPr>
                              <w:t xml:space="preserve">Step 6: Recording, Review &amp; Evaluation</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1"/>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Attendance officer ensures the school’s attendance policy is up to date, reflects the 2024 guidance (e.g., leave of absence only for exceptional circumstances, new attendance codes, register retention 6 years)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Attendance data is regularly analysed by attendance officer (weekly) to identify cohorts/pupils at risk and trends.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Attendance officer reports to SLT on patterns, barriers, interventions, outcomes.  </w:t>
                            </w:r>
                          </w:p>
                          <w:p w:rsidR="00000000" w:rsidDel="00000000" w:rsidP="00000000" w:rsidRDefault="00000000" w:rsidRPr="00000000">
                            <w:pPr>
                              <w:spacing w:after="160" w:before="0" w:line="277.99999237060547"/>
                              <w:ind w:left="720" w:right="0" w:firstLine="360"/>
                              <w:jc w:val="left"/>
                              <w:textDirection w:val="btLr"/>
                            </w:pPr>
                            <w:r w:rsidDel="00000000" w:rsidR="00000000" w:rsidRPr="00000000">
                              <w:rPr>
                                <w:rFonts w:ascii="Delius" w:cs="Delius" w:eastAsia="Delius" w:hAnsi="Delius"/>
                                <w:b w:val="0"/>
                                <w:i w:val="0"/>
                                <w:smallCaps w:val="0"/>
                                <w:strike w:val="0"/>
                                <w:color w:val="000000"/>
                                <w:sz w:val="24"/>
                                <w:vertAlign w:val="baseline"/>
                              </w:rPr>
                            </w:r>
                            <w:r w:rsidDel="00000000" w:rsidR="00000000" w:rsidRPr="00000000">
                              <w:rPr>
                                <w:rFonts w:ascii="Delius" w:cs="Delius" w:eastAsia="Delius" w:hAnsi="Delius"/>
                                <w:b w:val="0"/>
                                <w:i w:val="0"/>
                                <w:smallCaps w:val="0"/>
                                <w:strike w:val="0"/>
                                <w:color w:val="000000"/>
                                <w:sz w:val="24"/>
                                <w:vertAlign w:val="baseline"/>
                              </w:rPr>
                              <w:t xml:space="preserve">Update flowchart/process annually (or when guidance changes) and train staff.</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Delius" w:cs="Delius" w:eastAsia="Delius" w:hAnsi="Deliu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Verdana" w:cs="Verdana" w:eastAsia="Verdana" w:hAnsi="Verdana"/>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-272775</wp:posOffset>
                </wp:positionH>
                <wp:positionV relativeFrom="paragraph">
                  <wp:posOffset>665315</wp:posOffset>
                </wp:positionV>
                <wp:extent cx="9286875" cy="2274143"/>
                <wp:effectExtent b="0" l="0" r="0" t="0"/>
                <wp:wrapNone/>
                <wp:docPr id="61"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9286875" cy="2274143"/>
                        </a:xfrm>
                        <a:prstGeom prst="rect"/>
                        <a:ln/>
                      </pic:spPr>
                    </pic:pic>
                  </a:graphicData>
                </a:graphic>
              </wp:anchor>
            </w:drawing>
          </mc:Fallback>
        </mc:AlternateContent>
      </w:r>
    </w:p>
    <w:sectPr>
      <w:footerReference r:id="rId9" w:type="default"/>
      <w:pgSz w:h="23811" w:w="16838"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Delius">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03DC2"/>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03DC2"/>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03DC2"/>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03DC2"/>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03DC2"/>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03DC2"/>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03DC2"/>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03DC2"/>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03DC2"/>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03DC2"/>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03DC2"/>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03DC2"/>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03DC2"/>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03DC2"/>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03DC2"/>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A03DC2"/>
    <w:rPr>
      <w:i w:val="1"/>
      <w:iCs w:val="1"/>
      <w:color w:val="404040" w:themeColor="text1" w:themeTint="0000BF"/>
    </w:rPr>
  </w:style>
  <w:style w:type="paragraph" w:styleId="ListParagraph">
    <w:name w:val="List Paragraph"/>
    <w:basedOn w:val="Normal"/>
    <w:uiPriority w:val="34"/>
    <w:qFormat w:val="1"/>
    <w:rsid w:val="00A03DC2"/>
    <w:pPr>
      <w:ind w:left="720"/>
      <w:contextualSpacing w:val="1"/>
    </w:pPr>
  </w:style>
  <w:style w:type="character" w:styleId="IntenseEmphasis">
    <w:name w:val="Intense Emphasis"/>
    <w:basedOn w:val="DefaultParagraphFont"/>
    <w:uiPriority w:val="21"/>
    <w:qFormat w:val="1"/>
    <w:rsid w:val="00A03DC2"/>
    <w:rPr>
      <w:i w:val="1"/>
      <w:iCs w:val="1"/>
      <w:color w:val="0f4761" w:themeColor="accent1" w:themeShade="0000BF"/>
    </w:rPr>
  </w:style>
  <w:style w:type="paragraph" w:styleId="IntenseQuote">
    <w:name w:val="Intense Quote"/>
    <w:basedOn w:val="Normal"/>
    <w:next w:val="Normal"/>
    <w:link w:val="IntenseQuoteChar"/>
    <w:uiPriority w:val="30"/>
    <w:qFormat w:val="1"/>
    <w:rsid w:val="00A03DC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03DC2"/>
    <w:rPr>
      <w:i w:val="1"/>
      <w:iCs w:val="1"/>
      <w:color w:val="0f4761" w:themeColor="accent1" w:themeShade="0000BF"/>
    </w:rPr>
  </w:style>
  <w:style w:type="character" w:styleId="IntenseReference">
    <w:name w:val="Intense Reference"/>
    <w:basedOn w:val="DefaultParagraphFont"/>
    <w:uiPriority w:val="32"/>
    <w:qFormat w:val="1"/>
    <w:rsid w:val="00A03DC2"/>
    <w:rPr>
      <w:b w:val="1"/>
      <w:bCs w:val="1"/>
      <w:smallCaps w:val="1"/>
      <w:color w:val="0f4761" w:themeColor="accent1" w:themeShade="0000BF"/>
      <w:spacing w:val="5"/>
    </w:rPr>
  </w:style>
  <w:style w:type="paragraph" w:styleId="Header">
    <w:name w:val="header"/>
    <w:basedOn w:val="Normal"/>
    <w:link w:val="HeaderChar"/>
    <w:uiPriority w:val="99"/>
    <w:unhideWhenUsed w:val="1"/>
    <w:rsid w:val="004B66F1"/>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66F1"/>
  </w:style>
  <w:style w:type="paragraph" w:styleId="Footer">
    <w:name w:val="footer"/>
    <w:basedOn w:val="Normal"/>
    <w:link w:val="FooterChar"/>
    <w:uiPriority w:val="99"/>
    <w:unhideWhenUsed w:val="1"/>
    <w:rsid w:val="004B66F1"/>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66F1"/>
  </w:style>
  <w:style w:type="character" w:styleId="Hyperlink">
    <w:name w:val="Hyperlink"/>
    <w:basedOn w:val="DefaultParagraphFont"/>
    <w:uiPriority w:val="99"/>
    <w:unhideWhenUsed w:val="1"/>
    <w:rsid w:val="00F57B0F"/>
    <w:rPr>
      <w:color w:val="467886" w:themeColor="hyperlink"/>
      <w:u w:val="single"/>
    </w:rPr>
  </w:style>
  <w:style w:type="character" w:styleId="UnresolvedMention">
    <w:name w:val="Unresolved Mention"/>
    <w:basedOn w:val="DefaultParagraphFont"/>
    <w:uiPriority w:val="99"/>
    <w:semiHidden w:val="1"/>
    <w:unhideWhenUsed w:val="1"/>
    <w:rsid w:val="00F57B0F"/>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Montserrat-regular.ttf"/><Relationship Id="rId4" Type="http://schemas.openxmlformats.org/officeDocument/2006/relationships/font" Target="fonts/Montserrat-bold.ttf"/><Relationship Id="rId5" Type="http://schemas.openxmlformats.org/officeDocument/2006/relationships/font" Target="fonts/Montserrat-italic.ttf"/><Relationship Id="rId6" Type="http://schemas.openxmlformats.org/officeDocument/2006/relationships/font" Target="fonts/Montserrat-boldItalic.ttf"/><Relationship Id="rId7" Type="http://schemas.openxmlformats.org/officeDocument/2006/relationships/font" Target="fonts/Delius-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fGSJtl3kAYUDxvdwE/RDQuP9Ow==">CgMxLjA4AHIhMWJVdGU3cTV5bjBQR2tRTXRUOTZtdGxGOUFGWE9VWkNa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2025-10-21T10:24:00Z</dcterms:created>
  <dc:creator>Kevin Leeman</dc:creator>
</cp:coreProperties>
</file>