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69455" w14:textId="235C3115" w:rsidR="009602D6" w:rsidRDefault="00141B4F">
      <w:r>
        <w:rPr>
          <w:rFonts w:eastAsia="Times New Roman"/>
          <w:noProof/>
        </w:rPr>
        <w:drawing>
          <wp:inline distT="0" distB="0" distL="0" distR="0" wp14:anchorId="14504D29" wp14:editId="4C80D906">
            <wp:extent cx="5731510" cy="768096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602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B4F"/>
    <w:rsid w:val="00141B4F"/>
    <w:rsid w:val="00760107"/>
    <w:rsid w:val="00894803"/>
    <w:rsid w:val="00CB4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CF645"/>
  <w15:chartTrackingRefBased/>
  <w15:docId w15:val="{53FA15C3-806B-4286-8B04-58D159B1A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mf_134CB02E-BEC8-47EE-9122-B65B764BB705/L0/001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The Deanes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Batic</dc:creator>
  <cp:keywords/>
  <dc:description/>
  <cp:lastModifiedBy>Batic Trust (TDS)</cp:lastModifiedBy>
  <cp:revision>1</cp:revision>
  <dcterms:created xsi:type="dcterms:W3CDTF">2026-03-12T08:51:00Z</dcterms:created>
  <dcterms:modified xsi:type="dcterms:W3CDTF">2026-03-12T08:52:00Z</dcterms:modified>
</cp:coreProperties>
</file>